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5630" w:rsidRDefault="00B53569">
      <w:r>
        <w:rPr>
          <w:noProof/>
        </w:rPr>
        <w:drawing>
          <wp:anchor distT="0" distB="0" distL="114300" distR="114300" simplePos="0" relativeHeight="251658240" behindDoc="0" locked="0" layoutInCell="0" allowOverlap="0" wp14:anchorId="2C7A0EFD" wp14:editId="619DD57A">
            <wp:simplePos x="0" y="0"/>
            <wp:positionH relativeFrom="page">
              <wp:posOffset>0</wp:posOffset>
            </wp:positionH>
            <wp:positionV relativeFrom="page">
              <wp:posOffset>0</wp:posOffset>
            </wp:positionV>
            <wp:extent cx="7562215" cy="10695305"/>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7562215" cy="10695305"/>
                    </a:xfrm>
                    <a:prstGeom prst="rect">
                      <a:avLst/>
                    </a:prstGeom>
                  </pic:spPr>
                </pic:pic>
              </a:graphicData>
            </a:graphic>
          </wp:anchor>
        </w:drawing>
      </w:r>
    </w:p>
    <w:p w:rsidR="00205630" w:rsidRDefault="00B11D94">
      <w:r>
        <w:br w:type="page"/>
      </w:r>
    </w:p>
    <w:tbl>
      <w:tblPr>
        <w:tblStyle w:val="NoBorderTable"/>
        <w:tblW w:w="0" w:type="auto"/>
        <w:tblInd w:w="0" w:type="dxa"/>
        <w:tblLook w:val="04A0" w:firstRow="1" w:lastRow="0" w:firstColumn="1" w:lastColumn="0" w:noHBand="0" w:noVBand="1"/>
      </w:tblPr>
      <w:tblGrid>
        <w:gridCol w:w="3969"/>
        <w:gridCol w:w="3969"/>
      </w:tblGrid>
      <w:tr w:rsidR="00205630">
        <w:tc>
          <w:tcPr>
            <w:tcW w:w="3969" w:type="dxa"/>
          </w:tcPr>
          <w:p w:rsidR="00205630" w:rsidRPr="00376207" w:rsidRDefault="00B11D94">
            <w:pPr>
              <w:spacing w:before="240" w:after="240"/>
              <w:rPr>
                <w:sz w:val="60"/>
                <w:szCs w:val="60"/>
              </w:rPr>
            </w:pPr>
            <w:r w:rsidRPr="00376207">
              <w:rPr>
                <w:b/>
                <w:sz w:val="60"/>
                <w:szCs w:val="60"/>
              </w:rPr>
              <w:lastRenderedPageBreak/>
              <w:t>Kolofon</w:t>
            </w:r>
          </w:p>
          <w:p w:rsidR="00205630" w:rsidRDefault="00B11D94">
            <w:pPr>
              <w:spacing w:before="240" w:after="240"/>
            </w:pPr>
            <w:r>
              <w:t> </w:t>
            </w:r>
          </w:p>
          <w:p w:rsidR="00205630" w:rsidRDefault="00B11D94">
            <w:pPr>
              <w:spacing w:before="240" w:after="240"/>
            </w:pPr>
            <w:r>
              <w:rPr>
                <w:b/>
              </w:rPr>
              <w:t>Titel:</w:t>
            </w:r>
            <w:r w:rsidR="00376207">
              <w:br/>
            </w:r>
            <w:r>
              <w:t>Natura 2000-plan 2016-2021</w:t>
            </w:r>
            <w:r w:rsidR="00376207">
              <w:t xml:space="preserve"> </w:t>
            </w:r>
            <w:r w:rsidR="00376207">
              <w:br/>
            </w:r>
            <w:r>
              <w:t>Gudenå og Gjern Bakker</w:t>
            </w:r>
            <w:r w:rsidR="00376207">
              <w:br/>
            </w:r>
            <w:r>
              <w:t>Natura 2000-område nr. 49</w:t>
            </w:r>
            <w:r w:rsidR="00376207">
              <w:br/>
            </w:r>
            <w:r>
              <w:t>Habitatområde nr. 45 </w:t>
            </w:r>
          </w:p>
          <w:p w:rsidR="00205630" w:rsidRPr="00376207" w:rsidRDefault="00B11D94">
            <w:pPr>
              <w:spacing w:before="240" w:after="240"/>
              <w:rPr>
                <w:b/>
              </w:rPr>
            </w:pPr>
            <w:r>
              <w:rPr>
                <w:b/>
              </w:rPr>
              <w:t xml:space="preserve">Emneord: </w:t>
            </w:r>
            <w:r w:rsidR="00376207">
              <w:rPr>
                <w:b/>
              </w:rPr>
              <w:br/>
            </w:r>
            <w:r>
              <w:t xml:space="preserve">Habitatdirektivet, Miljømålsloven, </w:t>
            </w:r>
            <w:r w:rsidR="00376207">
              <w:br/>
            </w:r>
            <w:r>
              <w:t>Natura 2000-plan.</w:t>
            </w:r>
          </w:p>
          <w:p w:rsidR="00205630" w:rsidRPr="00376207" w:rsidRDefault="00B11D94">
            <w:pPr>
              <w:spacing w:before="240" w:after="240"/>
              <w:rPr>
                <w:b/>
              </w:rPr>
            </w:pPr>
            <w:r>
              <w:rPr>
                <w:b/>
              </w:rPr>
              <w:t xml:space="preserve">Udgiver: </w:t>
            </w:r>
            <w:r w:rsidR="00376207">
              <w:rPr>
                <w:b/>
              </w:rPr>
              <w:br/>
            </w:r>
            <w:r>
              <w:t>Miljø</w:t>
            </w:r>
            <w:r w:rsidR="00B53569">
              <w:t>- og Fødevare</w:t>
            </w:r>
            <w:r>
              <w:t>ministeriet, Naturstyrelsen</w:t>
            </w:r>
          </w:p>
          <w:p w:rsidR="00B53569" w:rsidRPr="00376207" w:rsidRDefault="00B11D94">
            <w:pPr>
              <w:spacing w:before="240" w:after="240"/>
              <w:rPr>
                <w:b/>
              </w:rPr>
            </w:pPr>
            <w:r>
              <w:rPr>
                <w:b/>
              </w:rPr>
              <w:t xml:space="preserve">Ansvarlig institution: </w:t>
            </w:r>
            <w:r w:rsidR="00376207">
              <w:rPr>
                <w:b/>
              </w:rPr>
              <w:br/>
            </w:r>
            <w:r>
              <w:t xml:space="preserve">Naturstyrelsen </w:t>
            </w:r>
            <w:r w:rsidR="00376207">
              <w:br/>
            </w:r>
            <w:r>
              <w:t>Haraldsgade 53</w:t>
            </w:r>
            <w:r w:rsidR="00376207">
              <w:br/>
            </w:r>
            <w:r>
              <w:t xml:space="preserve">2100 København Ø </w:t>
            </w:r>
          </w:p>
          <w:p w:rsidR="00760E6E" w:rsidRDefault="002B52F9">
            <w:pPr>
              <w:rPr>
                <w:rStyle w:val="Hyperlink"/>
              </w:rPr>
            </w:pPr>
            <w:hyperlink r:id="rId9" w:history="1">
              <w:r w:rsidR="00760E6E">
                <w:rPr>
                  <w:rStyle w:val="Hyperlink"/>
                </w:rPr>
                <w:t>www.naturstyrelsen.dk</w:t>
              </w:r>
            </w:hyperlink>
          </w:p>
          <w:p w:rsidR="00760E6E" w:rsidRDefault="00760E6E">
            <w:pPr>
              <w:rPr>
                <w:rStyle w:val="Hyperlink"/>
              </w:rPr>
            </w:pPr>
          </w:p>
          <w:p w:rsidR="00B53569" w:rsidRDefault="00B11D94">
            <w:pPr>
              <w:rPr>
                <w:b/>
              </w:rPr>
            </w:pPr>
            <w:r>
              <w:rPr>
                <w:b/>
              </w:rPr>
              <w:t xml:space="preserve">Copyright: </w:t>
            </w:r>
          </w:p>
          <w:p w:rsidR="00205630" w:rsidRDefault="00B11D94">
            <w:r>
              <w:t>Naturstyrelsen, Miljø</w:t>
            </w:r>
            <w:r w:rsidR="00B53569">
              <w:t>- og Fødevare</w:t>
            </w:r>
            <w:r>
              <w:t>ministeriet</w:t>
            </w:r>
          </w:p>
        </w:tc>
        <w:tc>
          <w:tcPr>
            <w:tcW w:w="0" w:type="auto"/>
          </w:tcPr>
          <w:p w:rsidR="00376207" w:rsidRDefault="00376207">
            <w:pPr>
              <w:spacing w:before="240" w:after="240"/>
              <w:rPr>
                <w:b/>
              </w:rPr>
            </w:pPr>
          </w:p>
          <w:p w:rsidR="00376207" w:rsidRDefault="00376207">
            <w:pPr>
              <w:spacing w:before="240" w:after="240"/>
              <w:rPr>
                <w:b/>
              </w:rPr>
            </w:pPr>
          </w:p>
          <w:p w:rsidR="00376207" w:rsidRDefault="00376207">
            <w:pPr>
              <w:spacing w:before="240" w:after="240"/>
              <w:rPr>
                <w:b/>
              </w:rPr>
            </w:pPr>
          </w:p>
          <w:p w:rsidR="00205630" w:rsidRDefault="00B11D94">
            <w:pPr>
              <w:spacing w:before="240" w:after="240"/>
            </w:pPr>
            <w:r>
              <w:rPr>
                <w:b/>
              </w:rPr>
              <w:t xml:space="preserve">Sprog: </w:t>
            </w:r>
            <w:r>
              <w:t>Dansk</w:t>
            </w:r>
          </w:p>
          <w:p w:rsidR="00205630" w:rsidRDefault="00B11D94">
            <w:pPr>
              <w:spacing w:before="240" w:after="240"/>
            </w:pPr>
            <w:r>
              <w:rPr>
                <w:b/>
              </w:rPr>
              <w:t xml:space="preserve">År: </w:t>
            </w:r>
            <w:r>
              <w:t>201</w:t>
            </w:r>
            <w:r w:rsidR="00B53569">
              <w:t>6</w:t>
            </w:r>
          </w:p>
          <w:p w:rsidR="00205630" w:rsidRDefault="00B11D94">
            <w:pPr>
              <w:spacing w:before="240" w:after="240"/>
            </w:pPr>
            <w:r>
              <w:rPr>
                <w:b/>
              </w:rPr>
              <w:t xml:space="preserve">ISBN nr. </w:t>
            </w:r>
            <w:r>
              <w:t>978-87-7091-744-5</w:t>
            </w:r>
          </w:p>
          <w:p w:rsidR="00205630" w:rsidRDefault="00B11D94">
            <w:pPr>
              <w:spacing w:before="240" w:after="240"/>
            </w:pPr>
            <w:r>
              <w:rPr>
                <w:b/>
              </w:rPr>
              <w:t xml:space="preserve">Dato: </w:t>
            </w:r>
            <w:r w:rsidR="00B53569">
              <w:t>Februar 2016</w:t>
            </w:r>
          </w:p>
          <w:p w:rsidR="00205630" w:rsidRPr="00376207" w:rsidRDefault="00B11D94">
            <w:pPr>
              <w:spacing w:before="240" w:after="240"/>
              <w:rPr>
                <w:b/>
              </w:rPr>
            </w:pPr>
            <w:r>
              <w:rPr>
                <w:b/>
              </w:rPr>
              <w:t xml:space="preserve">Forsidefoto: </w:t>
            </w:r>
            <w:r w:rsidR="00376207">
              <w:rPr>
                <w:b/>
              </w:rPr>
              <w:br/>
            </w:r>
            <w:r>
              <w:t>Gudenåens brede løb umiddelbart nedstrøms Silkeborg Langsø. Fotograf: Lasse Werling </w:t>
            </w:r>
          </w:p>
          <w:p w:rsidR="00205630" w:rsidRPr="002B52F9" w:rsidRDefault="00B11D94" w:rsidP="002B52F9">
            <w:pPr>
              <w:rPr>
                <w:szCs w:val="18"/>
              </w:rPr>
            </w:pPr>
            <w:r>
              <w:rPr>
                <w:b/>
              </w:rPr>
              <w:t>Resume:</w:t>
            </w:r>
            <w:r w:rsidR="00376207">
              <w:br/>
            </w:r>
            <w:r>
              <w:t xml:space="preserve">Natura 2000-plan for Gudenå og Gjern Bakker (nr. 49). </w:t>
            </w:r>
            <w:r w:rsidR="002B52F9" w:rsidRPr="007A0702">
              <w:rPr>
                <w:szCs w:val="18"/>
              </w:rPr>
              <w:t xml:space="preserve">Natura 2000-planen skal sikre naturtilstanden for områdets udpegede arter og naturtyper og bidrage til opnåelse </w:t>
            </w:r>
            <w:r w:rsidR="002B52F9">
              <w:rPr>
                <w:szCs w:val="18"/>
              </w:rPr>
              <w:t xml:space="preserve">af </w:t>
            </w:r>
            <w:r w:rsidR="002B52F9" w:rsidRPr="007A0702">
              <w:rPr>
                <w:szCs w:val="18"/>
              </w:rPr>
              <w:t>gunstig bevaringsstatus</w:t>
            </w:r>
            <w:r w:rsidR="002B52F9">
              <w:rPr>
                <w:szCs w:val="18"/>
              </w:rPr>
              <w:t>.</w:t>
            </w:r>
            <w:r>
              <w:t xml:space="preserve"> Områdets udpegede naturtyper og arter beskrives. Der er foretaget tilstandsvurdering af levesteder og naturtyper, og der fastlægges målsætninger og indsatser for naturtyperne og arterne.</w:t>
            </w:r>
          </w:p>
          <w:p w:rsidR="00205630" w:rsidRDefault="00B11D94" w:rsidP="00376207">
            <w:pPr>
              <w:spacing w:before="240" w:after="240"/>
            </w:pPr>
            <w:r>
              <w:t> Må citeres med kildeangivelse</w:t>
            </w:r>
          </w:p>
        </w:tc>
      </w:tr>
    </w:tbl>
    <w:p w:rsidR="00205630" w:rsidRDefault="00B11D94">
      <w:r>
        <w:br w:type="page"/>
      </w:r>
    </w:p>
    <w:tbl>
      <w:tblPr>
        <w:tblW w:w="9645" w:type="dxa"/>
        <w:tblLayout w:type="fixed"/>
        <w:tblCellMar>
          <w:left w:w="0" w:type="dxa"/>
          <w:right w:w="0" w:type="dxa"/>
        </w:tblCellMar>
        <w:tblLook w:val="01E0" w:firstRow="1" w:lastRow="1" w:firstColumn="1" w:lastColumn="1" w:noHBand="0" w:noVBand="0"/>
      </w:tblPr>
      <w:tblGrid>
        <w:gridCol w:w="9645"/>
      </w:tblGrid>
      <w:tr w:rsidR="00205630">
        <w:trPr>
          <w:trHeight w:hRule="exact" w:val="1928"/>
        </w:trPr>
        <w:tc>
          <w:tcPr>
            <w:tcW w:w="9645" w:type="dxa"/>
          </w:tcPr>
          <w:p w:rsidR="00205630" w:rsidRDefault="00B11D94">
            <w:pPr>
              <w:pStyle w:val="Overskrift"/>
              <w:pageBreakBefore/>
            </w:pPr>
            <w:r>
              <w:lastRenderedPageBreak/>
              <w:t>Indhold</w:t>
            </w:r>
          </w:p>
        </w:tc>
      </w:tr>
    </w:tbl>
    <w:p w:rsidR="00205630" w:rsidRDefault="00205630"/>
    <w:p w:rsidR="006108A4" w:rsidRDefault="00B11D94">
      <w:pPr>
        <w:pStyle w:val="Indholdsfortegnelse1"/>
        <w:rPr>
          <w:rFonts w:asciiTheme="minorHAnsi" w:eastAsiaTheme="minorEastAsia" w:hAnsiTheme="minorHAnsi" w:cstheme="minorBidi"/>
          <w:b w:val="0"/>
          <w:noProof/>
          <w:color w:val="auto"/>
          <w:sz w:val="22"/>
          <w:szCs w:val="22"/>
        </w:rPr>
      </w:pPr>
      <w:r>
        <w:rPr>
          <w:b w:val="0"/>
        </w:rPr>
        <w:fldChar w:fldCharType="begin"/>
      </w:r>
      <w:r>
        <w:rPr>
          <w:b w:val="0"/>
        </w:rPr>
        <w:instrText xml:space="preserve"> TOC \o "1-3" \h \z \t "Heading 1 - Uden nr;1" </w:instrText>
      </w:r>
      <w:r>
        <w:rPr>
          <w:b w:val="0"/>
        </w:rPr>
        <w:fldChar w:fldCharType="separate"/>
      </w:r>
      <w:hyperlink w:anchor="_Toc406095662" w:history="1">
        <w:r w:rsidR="006108A4" w:rsidRPr="00E61BBE">
          <w:rPr>
            <w:rStyle w:val="Hyperlink"/>
            <w:noProof/>
          </w:rPr>
          <w:t>1.</w:t>
        </w:r>
        <w:r w:rsidR="006108A4">
          <w:rPr>
            <w:rFonts w:asciiTheme="minorHAnsi" w:eastAsiaTheme="minorEastAsia" w:hAnsiTheme="minorHAnsi" w:cstheme="minorBidi"/>
            <w:b w:val="0"/>
            <w:noProof/>
            <w:color w:val="auto"/>
            <w:sz w:val="22"/>
            <w:szCs w:val="22"/>
          </w:rPr>
          <w:tab/>
        </w:r>
        <w:r w:rsidR="006108A4" w:rsidRPr="00E61BBE">
          <w:rPr>
            <w:rStyle w:val="Hyperlink"/>
            <w:noProof/>
          </w:rPr>
          <w:t>Natura 2000-planlægning</w:t>
        </w:r>
        <w:r w:rsidR="006108A4">
          <w:rPr>
            <w:noProof/>
            <w:webHidden/>
          </w:rPr>
          <w:tab/>
        </w:r>
        <w:r w:rsidR="006108A4">
          <w:rPr>
            <w:noProof/>
            <w:webHidden/>
          </w:rPr>
          <w:fldChar w:fldCharType="begin"/>
        </w:r>
        <w:r w:rsidR="006108A4">
          <w:rPr>
            <w:noProof/>
            <w:webHidden/>
          </w:rPr>
          <w:instrText xml:space="preserve"> PAGEREF _Toc406095662 \h </w:instrText>
        </w:r>
        <w:r w:rsidR="006108A4">
          <w:rPr>
            <w:noProof/>
            <w:webHidden/>
          </w:rPr>
        </w:r>
        <w:r w:rsidR="006108A4">
          <w:rPr>
            <w:noProof/>
            <w:webHidden/>
          </w:rPr>
          <w:fldChar w:fldCharType="separate"/>
        </w:r>
        <w:r w:rsidR="00D67E76">
          <w:rPr>
            <w:noProof/>
            <w:webHidden/>
          </w:rPr>
          <w:t>5</w:t>
        </w:r>
        <w:r w:rsidR="006108A4">
          <w:rPr>
            <w:noProof/>
            <w:webHidden/>
          </w:rPr>
          <w:fldChar w:fldCharType="end"/>
        </w:r>
      </w:hyperlink>
    </w:p>
    <w:p w:rsidR="006108A4" w:rsidRDefault="002B52F9">
      <w:pPr>
        <w:pStyle w:val="Indholdsfortegnelse2"/>
        <w:rPr>
          <w:rFonts w:asciiTheme="minorHAnsi" w:eastAsiaTheme="minorEastAsia" w:hAnsiTheme="minorHAnsi" w:cstheme="minorBidi"/>
          <w:noProof/>
          <w:color w:val="auto"/>
          <w:sz w:val="22"/>
          <w:szCs w:val="22"/>
        </w:rPr>
      </w:pPr>
      <w:hyperlink w:anchor="_Toc406095663" w:history="1">
        <w:r w:rsidR="006108A4" w:rsidRPr="00E61BBE">
          <w:rPr>
            <w:rStyle w:val="Hyperlink"/>
            <w:noProof/>
          </w:rPr>
          <w:t>1.1</w:t>
        </w:r>
        <w:r w:rsidR="006108A4">
          <w:rPr>
            <w:rFonts w:asciiTheme="minorHAnsi" w:eastAsiaTheme="minorEastAsia" w:hAnsiTheme="minorHAnsi" w:cstheme="minorBidi"/>
            <w:noProof/>
            <w:color w:val="auto"/>
            <w:sz w:val="22"/>
            <w:szCs w:val="22"/>
          </w:rPr>
          <w:tab/>
        </w:r>
        <w:r w:rsidR="006108A4" w:rsidRPr="00E61BBE">
          <w:rPr>
            <w:rStyle w:val="Hyperlink"/>
            <w:noProof/>
          </w:rPr>
          <w:t>Natura 2000-planen er bindende for myndighederne</w:t>
        </w:r>
        <w:r w:rsidR="006108A4">
          <w:rPr>
            <w:noProof/>
            <w:webHidden/>
          </w:rPr>
          <w:tab/>
        </w:r>
        <w:r w:rsidR="006108A4">
          <w:rPr>
            <w:noProof/>
            <w:webHidden/>
          </w:rPr>
          <w:fldChar w:fldCharType="begin"/>
        </w:r>
        <w:r w:rsidR="006108A4">
          <w:rPr>
            <w:noProof/>
            <w:webHidden/>
          </w:rPr>
          <w:instrText xml:space="preserve"> PAGEREF _Toc406095663 \h </w:instrText>
        </w:r>
        <w:r w:rsidR="006108A4">
          <w:rPr>
            <w:noProof/>
            <w:webHidden/>
          </w:rPr>
        </w:r>
        <w:r w:rsidR="006108A4">
          <w:rPr>
            <w:noProof/>
            <w:webHidden/>
          </w:rPr>
          <w:fldChar w:fldCharType="separate"/>
        </w:r>
        <w:r w:rsidR="00D67E76">
          <w:rPr>
            <w:noProof/>
            <w:webHidden/>
          </w:rPr>
          <w:t>6</w:t>
        </w:r>
        <w:r w:rsidR="006108A4">
          <w:rPr>
            <w:noProof/>
            <w:webHidden/>
          </w:rPr>
          <w:fldChar w:fldCharType="end"/>
        </w:r>
      </w:hyperlink>
    </w:p>
    <w:p w:rsidR="006108A4" w:rsidRDefault="002B52F9">
      <w:pPr>
        <w:pStyle w:val="Indholdsfortegnelse2"/>
        <w:rPr>
          <w:rFonts w:asciiTheme="minorHAnsi" w:eastAsiaTheme="minorEastAsia" w:hAnsiTheme="minorHAnsi" w:cstheme="minorBidi"/>
          <w:noProof/>
          <w:color w:val="auto"/>
          <w:sz w:val="22"/>
          <w:szCs w:val="22"/>
        </w:rPr>
      </w:pPr>
      <w:hyperlink w:anchor="_Toc406095664" w:history="1">
        <w:r w:rsidR="006108A4" w:rsidRPr="00E61BBE">
          <w:rPr>
            <w:rStyle w:val="Hyperlink"/>
            <w:noProof/>
          </w:rPr>
          <w:t>1.2</w:t>
        </w:r>
        <w:r w:rsidR="006108A4">
          <w:rPr>
            <w:rFonts w:asciiTheme="minorHAnsi" w:eastAsiaTheme="minorEastAsia" w:hAnsiTheme="minorHAnsi" w:cstheme="minorBidi"/>
            <w:noProof/>
            <w:color w:val="auto"/>
            <w:sz w:val="22"/>
            <w:szCs w:val="22"/>
          </w:rPr>
          <w:tab/>
        </w:r>
        <w:r w:rsidR="006108A4" w:rsidRPr="00E61BBE">
          <w:rPr>
            <w:rStyle w:val="Hyperlink"/>
            <w:noProof/>
          </w:rPr>
          <w:t>Naturtilstand og gunstig bevaringsstatus</w:t>
        </w:r>
        <w:r w:rsidR="006108A4">
          <w:rPr>
            <w:noProof/>
            <w:webHidden/>
          </w:rPr>
          <w:tab/>
        </w:r>
        <w:r w:rsidR="006108A4">
          <w:rPr>
            <w:noProof/>
            <w:webHidden/>
          </w:rPr>
          <w:fldChar w:fldCharType="begin"/>
        </w:r>
        <w:r w:rsidR="006108A4">
          <w:rPr>
            <w:noProof/>
            <w:webHidden/>
          </w:rPr>
          <w:instrText xml:space="preserve"> PAGEREF _Toc406095664 \h </w:instrText>
        </w:r>
        <w:r w:rsidR="006108A4">
          <w:rPr>
            <w:noProof/>
            <w:webHidden/>
          </w:rPr>
        </w:r>
        <w:r w:rsidR="006108A4">
          <w:rPr>
            <w:noProof/>
            <w:webHidden/>
          </w:rPr>
          <w:fldChar w:fldCharType="separate"/>
        </w:r>
        <w:r w:rsidR="00D67E76">
          <w:rPr>
            <w:noProof/>
            <w:webHidden/>
          </w:rPr>
          <w:t>7</w:t>
        </w:r>
        <w:r w:rsidR="006108A4">
          <w:rPr>
            <w:noProof/>
            <w:webHidden/>
          </w:rPr>
          <w:fldChar w:fldCharType="end"/>
        </w:r>
      </w:hyperlink>
    </w:p>
    <w:p w:rsidR="006108A4" w:rsidRDefault="002B52F9">
      <w:pPr>
        <w:pStyle w:val="Indholdsfortegnelse1"/>
        <w:rPr>
          <w:rFonts w:asciiTheme="minorHAnsi" w:eastAsiaTheme="minorEastAsia" w:hAnsiTheme="minorHAnsi" w:cstheme="minorBidi"/>
          <w:b w:val="0"/>
          <w:noProof/>
          <w:color w:val="auto"/>
          <w:sz w:val="22"/>
          <w:szCs w:val="22"/>
        </w:rPr>
      </w:pPr>
      <w:hyperlink w:anchor="_Toc406095665" w:history="1">
        <w:r w:rsidR="006108A4" w:rsidRPr="00E61BBE">
          <w:rPr>
            <w:rStyle w:val="Hyperlink"/>
            <w:noProof/>
          </w:rPr>
          <w:t>2.</w:t>
        </w:r>
        <w:r w:rsidR="006108A4">
          <w:rPr>
            <w:rFonts w:asciiTheme="minorHAnsi" w:eastAsiaTheme="minorEastAsia" w:hAnsiTheme="minorHAnsi" w:cstheme="minorBidi"/>
            <w:b w:val="0"/>
            <w:noProof/>
            <w:color w:val="auto"/>
            <w:sz w:val="22"/>
            <w:szCs w:val="22"/>
          </w:rPr>
          <w:tab/>
        </w:r>
        <w:r w:rsidR="006108A4" w:rsidRPr="00E61BBE">
          <w:rPr>
            <w:rStyle w:val="Hyperlink"/>
            <w:noProof/>
          </w:rPr>
          <w:t>Områdebeskrivelse</w:t>
        </w:r>
        <w:r w:rsidR="006108A4">
          <w:rPr>
            <w:noProof/>
            <w:webHidden/>
          </w:rPr>
          <w:tab/>
        </w:r>
        <w:r w:rsidR="006108A4">
          <w:rPr>
            <w:noProof/>
            <w:webHidden/>
          </w:rPr>
          <w:fldChar w:fldCharType="begin"/>
        </w:r>
        <w:r w:rsidR="006108A4">
          <w:rPr>
            <w:noProof/>
            <w:webHidden/>
          </w:rPr>
          <w:instrText xml:space="preserve"> PAGEREF _Toc406095665 \h </w:instrText>
        </w:r>
        <w:r w:rsidR="006108A4">
          <w:rPr>
            <w:noProof/>
            <w:webHidden/>
          </w:rPr>
        </w:r>
        <w:r w:rsidR="006108A4">
          <w:rPr>
            <w:noProof/>
            <w:webHidden/>
          </w:rPr>
          <w:fldChar w:fldCharType="separate"/>
        </w:r>
        <w:r w:rsidR="00D67E76">
          <w:rPr>
            <w:noProof/>
            <w:webHidden/>
          </w:rPr>
          <w:t>8</w:t>
        </w:r>
        <w:r w:rsidR="006108A4">
          <w:rPr>
            <w:noProof/>
            <w:webHidden/>
          </w:rPr>
          <w:fldChar w:fldCharType="end"/>
        </w:r>
      </w:hyperlink>
    </w:p>
    <w:p w:rsidR="006108A4" w:rsidRDefault="002B52F9">
      <w:pPr>
        <w:pStyle w:val="Indholdsfortegnelse2"/>
        <w:rPr>
          <w:rFonts w:asciiTheme="minorHAnsi" w:eastAsiaTheme="minorEastAsia" w:hAnsiTheme="minorHAnsi" w:cstheme="minorBidi"/>
          <w:noProof/>
          <w:color w:val="auto"/>
          <w:sz w:val="22"/>
          <w:szCs w:val="22"/>
        </w:rPr>
      </w:pPr>
      <w:hyperlink w:anchor="_Toc406095666" w:history="1">
        <w:r w:rsidR="006108A4" w:rsidRPr="00E61BBE">
          <w:rPr>
            <w:rStyle w:val="Hyperlink"/>
            <w:noProof/>
          </w:rPr>
          <w:t>2.1</w:t>
        </w:r>
        <w:r w:rsidR="006108A4">
          <w:rPr>
            <w:rFonts w:asciiTheme="minorHAnsi" w:eastAsiaTheme="minorEastAsia" w:hAnsiTheme="minorHAnsi" w:cstheme="minorBidi"/>
            <w:noProof/>
            <w:color w:val="auto"/>
            <w:sz w:val="22"/>
            <w:szCs w:val="22"/>
          </w:rPr>
          <w:tab/>
        </w:r>
        <w:r w:rsidR="006108A4" w:rsidRPr="00E61BBE">
          <w:rPr>
            <w:rStyle w:val="Hyperlink"/>
            <w:noProof/>
          </w:rPr>
          <w:t>Områdets udpegningsgrundlag</w:t>
        </w:r>
        <w:r w:rsidR="006108A4">
          <w:rPr>
            <w:noProof/>
            <w:webHidden/>
          </w:rPr>
          <w:tab/>
        </w:r>
        <w:r w:rsidR="006108A4">
          <w:rPr>
            <w:noProof/>
            <w:webHidden/>
          </w:rPr>
          <w:fldChar w:fldCharType="begin"/>
        </w:r>
        <w:r w:rsidR="006108A4">
          <w:rPr>
            <w:noProof/>
            <w:webHidden/>
          </w:rPr>
          <w:instrText xml:space="preserve"> PAGEREF _Toc406095666 \h </w:instrText>
        </w:r>
        <w:r w:rsidR="006108A4">
          <w:rPr>
            <w:noProof/>
            <w:webHidden/>
          </w:rPr>
        </w:r>
        <w:r w:rsidR="006108A4">
          <w:rPr>
            <w:noProof/>
            <w:webHidden/>
          </w:rPr>
          <w:fldChar w:fldCharType="separate"/>
        </w:r>
        <w:r w:rsidR="00D67E76">
          <w:rPr>
            <w:noProof/>
            <w:webHidden/>
          </w:rPr>
          <w:t>9</w:t>
        </w:r>
        <w:r w:rsidR="006108A4">
          <w:rPr>
            <w:noProof/>
            <w:webHidden/>
          </w:rPr>
          <w:fldChar w:fldCharType="end"/>
        </w:r>
      </w:hyperlink>
    </w:p>
    <w:p w:rsidR="006108A4" w:rsidRDefault="002B52F9">
      <w:pPr>
        <w:pStyle w:val="Indholdsfortegnelse2"/>
        <w:rPr>
          <w:rFonts w:asciiTheme="minorHAnsi" w:eastAsiaTheme="minorEastAsia" w:hAnsiTheme="minorHAnsi" w:cstheme="minorBidi"/>
          <w:noProof/>
          <w:color w:val="auto"/>
          <w:sz w:val="22"/>
          <w:szCs w:val="22"/>
        </w:rPr>
      </w:pPr>
      <w:hyperlink w:anchor="_Toc406095667" w:history="1">
        <w:r w:rsidR="006108A4" w:rsidRPr="00E61BBE">
          <w:rPr>
            <w:rStyle w:val="Hyperlink"/>
            <w:noProof/>
          </w:rPr>
          <w:t>2.2</w:t>
        </w:r>
        <w:r w:rsidR="006108A4">
          <w:rPr>
            <w:rFonts w:asciiTheme="minorHAnsi" w:eastAsiaTheme="minorEastAsia" w:hAnsiTheme="minorHAnsi" w:cstheme="minorBidi"/>
            <w:noProof/>
            <w:color w:val="auto"/>
            <w:sz w:val="22"/>
            <w:szCs w:val="22"/>
          </w:rPr>
          <w:tab/>
        </w:r>
        <w:r w:rsidR="006108A4" w:rsidRPr="00E61BBE">
          <w:rPr>
            <w:rStyle w:val="Hyperlink"/>
            <w:noProof/>
          </w:rPr>
          <w:t>Tilstanden for områdets udpegede natur</w:t>
        </w:r>
        <w:r w:rsidR="006108A4">
          <w:rPr>
            <w:noProof/>
            <w:webHidden/>
          </w:rPr>
          <w:tab/>
        </w:r>
        <w:r w:rsidR="006108A4">
          <w:rPr>
            <w:noProof/>
            <w:webHidden/>
          </w:rPr>
          <w:fldChar w:fldCharType="begin"/>
        </w:r>
        <w:r w:rsidR="006108A4">
          <w:rPr>
            <w:noProof/>
            <w:webHidden/>
          </w:rPr>
          <w:instrText xml:space="preserve"> PAGEREF _Toc406095667 \h </w:instrText>
        </w:r>
        <w:r w:rsidR="006108A4">
          <w:rPr>
            <w:noProof/>
            <w:webHidden/>
          </w:rPr>
        </w:r>
        <w:r w:rsidR="006108A4">
          <w:rPr>
            <w:noProof/>
            <w:webHidden/>
          </w:rPr>
          <w:fldChar w:fldCharType="separate"/>
        </w:r>
        <w:r w:rsidR="00D67E76">
          <w:rPr>
            <w:noProof/>
            <w:webHidden/>
          </w:rPr>
          <w:t>9</w:t>
        </w:r>
        <w:r w:rsidR="006108A4">
          <w:rPr>
            <w:noProof/>
            <w:webHidden/>
          </w:rPr>
          <w:fldChar w:fldCharType="end"/>
        </w:r>
      </w:hyperlink>
    </w:p>
    <w:p w:rsidR="006108A4" w:rsidRDefault="002B52F9">
      <w:pPr>
        <w:pStyle w:val="Indholdsfortegnelse3"/>
        <w:rPr>
          <w:rFonts w:asciiTheme="minorHAnsi" w:eastAsiaTheme="minorEastAsia" w:hAnsiTheme="minorHAnsi" w:cstheme="minorBidi"/>
          <w:noProof/>
          <w:color w:val="auto"/>
          <w:sz w:val="22"/>
          <w:szCs w:val="22"/>
        </w:rPr>
      </w:pPr>
      <w:hyperlink w:anchor="_Toc406095668" w:history="1">
        <w:r w:rsidR="006108A4" w:rsidRPr="00E61BBE">
          <w:rPr>
            <w:rStyle w:val="Hyperlink"/>
            <w:noProof/>
          </w:rPr>
          <w:t>2.2.1</w:t>
        </w:r>
        <w:r w:rsidR="006108A4">
          <w:rPr>
            <w:rFonts w:asciiTheme="minorHAnsi" w:eastAsiaTheme="minorEastAsia" w:hAnsiTheme="minorHAnsi" w:cstheme="minorBidi"/>
            <w:noProof/>
            <w:color w:val="auto"/>
            <w:sz w:val="22"/>
            <w:szCs w:val="22"/>
          </w:rPr>
          <w:tab/>
        </w:r>
        <w:r w:rsidR="006108A4" w:rsidRPr="00E61BBE">
          <w:rPr>
            <w:rStyle w:val="Hyperlink"/>
            <w:noProof/>
          </w:rPr>
          <w:t>Terrestriske naturtypers arealfordeling og tilstand</w:t>
        </w:r>
        <w:r w:rsidR="006108A4">
          <w:rPr>
            <w:noProof/>
            <w:webHidden/>
          </w:rPr>
          <w:tab/>
        </w:r>
        <w:r w:rsidR="006108A4">
          <w:rPr>
            <w:noProof/>
            <w:webHidden/>
          </w:rPr>
          <w:fldChar w:fldCharType="begin"/>
        </w:r>
        <w:r w:rsidR="006108A4">
          <w:rPr>
            <w:noProof/>
            <w:webHidden/>
          </w:rPr>
          <w:instrText xml:space="preserve"> PAGEREF _Toc406095668 \h </w:instrText>
        </w:r>
        <w:r w:rsidR="006108A4">
          <w:rPr>
            <w:noProof/>
            <w:webHidden/>
          </w:rPr>
        </w:r>
        <w:r w:rsidR="006108A4">
          <w:rPr>
            <w:noProof/>
            <w:webHidden/>
          </w:rPr>
          <w:fldChar w:fldCharType="separate"/>
        </w:r>
        <w:r w:rsidR="00D67E76">
          <w:rPr>
            <w:noProof/>
            <w:webHidden/>
          </w:rPr>
          <w:t>10</w:t>
        </w:r>
        <w:r w:rsidR="006108A4">
          <w:rPr>
            <w:noProof/>
            <w:webHidden/>
          </w:rPr>
          <w:fldChar w:fldCharType="end"/>
        </w:r>
      </w:hyperlink>
    </w:p>
    <w:p w:rsidR="006108A4" w:rsidRDefault="002B52F9">
      <w:pPr>
        <w:pStyle w:val="Indholdsfortegnelse3"/>
        <w:rPr>
          <w:rFonts w:asciiTheme="minorHAnsi" w:eastAsiaTheme="minorEastAsia" w:hAnsiTheme="minorHAnsi" w:cstheme="minorBidi"/>
          <w:noProof/>
          <w:color w:val="auto"/>
          <w:sz w:val="22"/>
          <w:szCs w:val="22"/>
        </w:rPr>
      </w:pPr>
      <w:hyperlink w:anchor="_Toc406095669" w:history="1">
        <w:r w:rsidR="006108A4" w:rsidRPr="00E61BBE">
          <w:rPr>
            <w:rStyle w:val="Hyperlink"/>
            <w:noProof/>
          </w:rPr>
          <w:t>2.2.2</w:t>
        </w:r>
        <w:r w:rsidR="006108A4">
          <w:rPr>
            <w:rFonts w:asciiTheme="minorHAnsi" w:eastAsiaTheme="minorEastAsia" w:hAnsiTheme="minorHAnsi" w:cstheme="minorBidi"/>
            <w:noProof/>
            <w:color w:val="auto"/>
            <w:sz w:val="22"/>
            <w:szCs w:val="22"/>
          </w:rPr>
          <w:tab/>
        </w:r>
        <w:r w:rsidR="006108A4" w:rsidRPr="00E61BBE">
          <w:rPr>
            <w:rStyle w:val="Hyperlink"/>
            <w:noProof/>
          </w:rPr>
          <w:t>Sønaturtypers tilstand</w:t>
        </w:r>
        <w:r w:rsidR="006108A4">
          <w:rPr>
            <w:noProof/>
            <w:webHidden/>
          </w:rPr>
          <w:tab/>
        </w:r>
        <w:r w:rsidR="006108A4">
          <w:rPr>
            <w:noProof/>
            <w:webHidden/>
          </w:rPr>
          <w:fldChar w:fldCharType="begin"/>
        </w:r>
        <w:r w:rsidR="006108A4">
          <w:rPr>
            <w:noProof/>
            <w:webHidden/>
          </w:rPr>
          <w:instrText xml:space="preserve"> PAGEREF _Toc406095669 \h </w:instrText>
        </w:r>
        <w:r w:rsidR="006108A4">
          <w:rPr>
            <w:noProof/>
            <w:webHidden/>
          </w:rPr>
        </w:r>
        <w:r w:rsidR="006108A4">
          <w:rPr>
            <w:noProof/>
            <w:webHidden/>
          </w:rPr>
          <w:fldChar w:fldCharType="separate"/>
        </w:r>
        <w:r w:rsidR="00D67E76">
          <w:rPr>
            <w:noProof/>
            <w:webHidden/>
          </w:rPr>
          <w:t>11</w:t>
        </w:r>
        <w:r w:rsidR="006108A4">
          <w:rPr>
            <w:noProof/>
            <w:webHidden/>
          </w:rPr>
          <w:fldChar w:fldCharType="end"/>
        </w:r>
      </w:hyperlink>
    </w:p>
    <w:p w:rsidR="006108A4" w:rsidRDefault="002B52F9">
      <w:pPr>
        <w:pStyle w:val="Indholdsfortegnelse3"/>
        <w:rPr>
          <w:rFonts w:asciiTheme="minorHAnsi" w:eastAsiaTheme="minorEastAsia" w:hAnsiTheme="minorHAnsi" w:cstheme="minorBidi"/>
          <w:noProof/>
          <w:color w:val="auto"/>
          <w:sz w:val="22"/>
          <w:szCs w:val="22"/>
        </w:rPr>
      </w:pPr>
      <w:hyperlink w:anchor="_Toc406095670" w:history="1">
        <w:r w:rsidR="006108A4" w:rsidRPr="00E61BBE">
          <w:rPr>
            <w:rStyle w:val="Hyperlink"/>
            <w:noProof/>
          </w:rPr>
          <w:t>2.2.3</w:t>
        </w:r>
        <w:r w:rsidR="006108A4">
          <w:rPr>
            <w:rFonts w:asciiTheme="minorHAnsi" w:eastAsiaTheme="minorEastAsia" w:hAnsiTheme="minorHAnsi" w:cstheme="minorBidi"/>
            <w:noProof/>
            <w:color w:val="auto"/>
            <w:sz w:val="22"/>
            <w:szCs w:val="22"/>
          </w:rPr>
          <w:tab/>
        </w:r>
        <w:r w:rsidR="006108A4" w:rsidRPr="00E61BBE">
          <w:rPr>
            <w:rStyle w:val="Hyperlink"/>
            <w:noProof/>
          </w:rPr>
          <w:t>Arts levesteders tilstand</w:t>
        </w:r>
        <w:r w:rsidR="006108A4">
          <w:rPr>
            <w:noProof/>
            <w:webHidden/>
          </w:rPr>
          <w:tab/>
        </w:r>
        <w:r w:rsidR="006108A4">
          <w:rPr>
            <w:noProof/>
            <w:webHidden/>
          </w:rPr>
          <w:fldChar w:fldCharType="begin"/>
        </w:r>
        <w:r w:rsidR="006108A4">
          <w:rPr>
            <w:noProof/>
            <w:webHidden/>
          </w:rPr>
          <w:instrText xml:space="preserve"> PAGEREF _Toc406095670 \h </w:instrText>
        </w:r>
        <w:r w:rsidR="006108A4">
          <w:rPr>
            <w:noProof/>
            <w:webHidden/>
          </w:rPr>
        </w:r>
        <w:r w:rsidR="006108A4">
          <w:rPr>
            <w:noProof/>
            <w:webHidden/>
          </w:rPr>
          <w:fldChar w:fldCharType="separate"/>
        </w:r>
        <w:r w:rsidR="00D67E76">
          <w:rPr>
            <w:noProof/>
            <w:webHidden/>
          </w:rPr>
          <w:t>12</w:t>
        </w:r>
        <w:r w:rsidR="006108A4">
          <w:rPr>
            <w:noProof/>
            <w:webHidden/>
          </w:rPr>
          <w:fldChar w:fldCharType="end"/>
        </w:r>
      </w:hyperlink>
    </w:p>
    <w:p w:rsidR="006108A4" w:rsidRDefault="002B52F9">
      <w:pPr>
        <w:pStyle w:val="Indholdsfortegnelse1"/>
        <w:rPr>
          <w:rFonts w:asciiTheme="minorHAnsi" w:eastAsiaTheme="minorEastAsia" w:hAnsiTheme="minorHAnsi" w:cstheme="minorBidi"/>
          <w:b w:val="0"/>
          <w:noProof/>
          <w:color w:val="auto"/>
          <w:sz w:val="22"/>
          <w:szCs w:val="22"/>
        </w:rPr>
      </w:pPr>
      <w:hyperlink w:anchor="_Toc406095671" w:history="1">
        <w:r w:rsidR="006108A4" w:rsidRPr="00E61BBE">
          <w:rPr>
            <w:rStyle w:val="Hyperlink"/>
            <w:noProof/>
          </w:rPr>
          <w:t>3.</w:t>
        </w:r>
        <w:r w:rsidR="006108A4">
          <w:rPr>
            <w:rFonts w:asciiTheme="minorHAnsi" w:eastAsiaTheme="minorEastAsia" w:hAnsiTheme="minorHAnsi" w:cstheme="minorBidi"/>
            <w:b w:val="0"/>
            <w:noProof/>
            <w:color w:val="auto"/>
            <w:sz w:val="22"/>
            <w:szCs w:val="22"/>
          </w:rPr>
          <w:tab/>
        </w:r>
        <w:r w:rsidR="006108A4" w:rsidRPr="00E61BBE">
          <w:rPr>
            <w:rStyle w:val="Hyperlink"/>
            <w:noProof/>
          </w:rPr>
          <w:t>Målsætninger</w:t>
        </w:r>
        <w:r w:rsidR="006108A4">
          <w:rPr>
            <w:noProof/>
            <w:webHidden/>
          </w:rPr>
          <w:tab/>
        </w:r>
        <w:r w:rsidR="006108A4">
          <w:rPr>
            <w:noProof/>
            <w:webHidden/>
          </w:rPr>
          <w:fldChar w:fldCharType="begin"/>
        </w:r>
        <w:r w:rsidR="006108A4">
          <w:rPr>
            <w:noProof/>
            <w:webHidden/>
          </w:rPr>
          <w:instrText xml:space="preserve"> PAGEREF _Toc406095671 \h </w:instrText>
        </w:r>
        <w:r w:rsidR="006108A4">
          <w:rPr>
            <w:noProof/>
            <w:webHidden/>
          </w:rPr>
        </w:r>
        <w:r w:rsidR="006108A4">
          <w:rPr>
            <w:noProof/>
            <w:webHidden/>
          </w:rPr>
          <w:fldChar w:fldCharType="separate"/>
        </w:r>
        <w:r w:rsidR="00D67E76">
          <w:rPr>
            <w:noProof/>
            <w:webHidden/>
          </w:rPr>
          <w:t>13</w:t>
        </w:r>
        <w:r w:rsidR="006108A4">
          <w:rPr>
            <w:noProof/>
            <w:webHidden/>
          </w:rPr>
          <w:fldChar w:fldCharType="end"/>
        </w:r>
      </w:hyperlink>
    </w:p>
    <w:p w:rsidR="006108A4" w:rsidRDefault="002B52F9">
      <w:pPr>
        <w:pStyle w:val="Indholdsfortegnelse2"/>
        <w:rPr>
          <w:rFonts w:asciiTheme="minorHAnsi" w:eastAsiaTheme="minorEastAsia" w:hAnsiTheme="minorHAnsi" w:cstheme="minorBidi"/>
          <w:noProof/>
          <w:color w:val="auto"/>
          <w:sz w:val="22"/>
          <w:szCs w:val="22"/>
        </w:rPr>
      </w:pPr>
      <w:hyperlink w:anchor="_Toc406095672" w:history="1">
        <w:r w:rsidR="006108A4" w:rsidRPr="00E61BBE">
          <w:rPr>
            <w:rStyle w:val="Hyperlink"/>
            <w:noProof/>
          </w:rPr>
          <w:t>3.1</w:t>
        </w:r>
        <w:r w:rsidR="006108A4">
          <w:rPr>
            <w:rFonts w:asciiTheme="minorHAnsi" w:eastAsiaTheme="minorEastAsia" w:hAnsiTheme="minorHAnsi" w:cstheme="minorBidi"/>
            <w:noProof/>
            <w:color w:val="auto"/>
            <w:sz w:val="22"/>
            <w:szCs w:val="22"/>
          </w:rPr>
          <w:tab/>
        </w:r>
        <w:r w:rsidR="006108A4" w:rsidRPr="00E61BBE">
          <w:rPr>
            <w:rStyle w:val="Hyperlink"/>
            <w:noProof/>
          </w:rPr>
          <w:t>Overordnet målsætning for Natura 2000-området</w:t>
        </w:r>
        <w:r w:rsidR="006108A4">
          <w:rPr>
            <w:noProof/>
            <w:webHidden/>
          </w:rPr>
          <w:tab/>
        </w:r>
        <w:r w:rsidR="006108A4">
          <w:rPr>
            <w:noProof/>
            <w:webHidden/>
          </w:rPr>
          <w:fldChar w:fldCharType="begin"/>
        </w:r>
        <w:r w:rsidR="006108A4">
          <w:rPr>
            <w:noProof/>
            <w:webHidden/>
          </w:rPr>
          <w:instrText xml:space="preserve"> PAGEREF _Toc406095672 \h </w:instrText>
        </w:r>
        <w:r w:rsidR="006108A4">
          <w:rPr>
            <w:noProof/>
            <w:webHidden/>
          </w:rPr>
        </w:r>
        <w:r w:rsidR="006108A4">
          <w:rPr>
            <w:noProof/>
            <w:webHidden/>
          </w:rPr>
          <w:fldChar w:fldCharType="separate"/>
        </w:r>
        <w:r w:rsidR="00D67E76">
          <w:rPr>
            <w:noProof/>
            <w:webHidden/>
          </w:rPr>
          <w:t>13</w:t>
        </w:r>
        <w:r w:rsidR="006108A4">
          <w:rPr>
            <w:noProof/>
            <w:webHidden/>
          </w:rPr>
          <w:fldChar w:fldCharType="end"/>
        </w:r>
      </w:hyperlink>
    </w:p>
    <w:p w:rsidR="006108A4" w:rsidRDefault="002B52F9">
      <w:pPr>
        <w:pStyle w:val="Indholdsfortegnelse2"/>
        <w:rPr>
          <w:rFonts w:asciiTheme="minorHAnsi" w:eastAsiaTheme="minorEastAsia" w:hAnsiTheme="minorHAnsi" w:cstheme="minorBidi"/>
          <w:noProof/>
          <w:color w:val="auto"/>
          <w:sz w:val="22"/>
          <w:szCs w:val="22"/>
        </w:rPr>
      </w:pPr>
      <w:hyperlink w:anchor="_Toc406095673" w:history="1">
        <w:r w:rsidR="006108A4" w:rsidRPr="00E61BBE">
          <w:rPr>
            <w:rStyle w:val="Hyperlink"/>
            <w:noProof/>
          </w:rPr>
          <w:t>3.2</w:t>
        </w:r>
        <w:r w:rsidR="006108A4">
          <w:rPr>
            <w:rFonts w:asciiTheme="minorHAnsi" w:eastAsiaTheme="minorEastAsia" w:hAnsiTheme="minorHAnsi" w:cstheme="minorBidi"/>
            <w:noProof/>
            <w:color w:val="auto"/>
            <w:sz w:val="22"/>
            <w:szCs w:val="22"/>
          </w:rPr>
          <w:tab/>
        </w:r>
        <w:r w:rsidR="006108A4" w:rsidRPr="00E61BBE">
          <w:rPr>
            <w:rStyle w:val="Hyperlink"/>
            <w:noProof/>
          </w:rPr>
          <w:t>Konkrete målsætninger for naturtyper og arter</w:t>
        </w:r>
        <w:r w:rsidR="006108A4">
          <w:rPr>
            <w:noProof/>
            <w:webHidden/>
          </w:rPr>
          <w:tab/>
        </w:r>
        <w:r w:rsidR="006108A4">
          <w:rPr>
            <w:noProof/>
            <w:webHidden/>
          </w:rPr>
          <w:fldChar w:fldCharType="begin"/>
        </w:r>
        <w:r w:rsidR="006108A4">
          <w:rPr>
            <w:noProof/>
            <w:webHidden/>
          </w:rPr>
          <w:instrText xml:space="preserve"> PAGEREF _Toc406095673 \h </w:instrText>
        </w:r>
        <w:r w:rsidR="006108A4">
          <w:rPr>
            <w:noProof/>
            <w:webHidden/>
          </w:rPr>
        </w:r>
        <w:r w:rsidR="006108A4">
          <w:rPr>
            <w:noProof/>
            <w:webHidden/>
          </w:rPr>
          <w:fldChar w:fldCharType="separate"/>
        </w:r>
        <w:r w:rsidR="00D67E76">
          <w:rPr>
            <w:noProof/>
            <w:webHidden/>
          </w:rPr>
          <w:t>14</w:t>
        </w:r>
        <w:r w:rsidR="006108A4">
          <w:rPr>
            <w:noProof/>
            <w:webHidden/>
          </w:rPr>
          <w:fldChar w:fldCharType="end"/>
        </w:r>
      </w:hyperlink>
    </w:p>
    <w:p w:rsidR="006108A4" w:rsidRDefault="002B52F9">
      <w:pPr>
        <w:pStyle w:val="Indholdsfortegnelse2"/>
        <w:rPr>
          <w:rFonts w:asciiTheme="minorHAnsi" w:eastAsiaTheme="minorEastAsia" w:hAnsiTheme="minorHAnsi" w:cstheme="minorBidi"/>
          <w:noProof/>
          <w:color w:val="auto"/>
          <w:sz w:val="22"/>
          <w:szCs w:val="22"/>
        </w:rPr>
      </w:pPr>
      <w:hyperlink w:anchor="_Toc406095674" w:history="1">
        <w:r w:rsidR="006108A4" w:rsidRPr="00E61BBE">
          <w:rPr>
            <w:rStyle w:val="Hyperlink"/>
            <w:noProof/>
          </w:rPr>
          <w:t>3.3</w:t>
        </w:r>
        <w:r w:rsidR="006108A4">
          <w:rPr>
            <w:rFonts w:asciiTheme="minorHAnsi" w:eastAsiaTheme="minorEastAsia" w:hAnsiTheme="minorHAnsi" w:cstheme="minorBidi"/>
            <w:noProof/>
            <w:color w:val="auto"/>
            <w:sz w:val="22"/>
            <w:szCs w:val="22"/>
          </w:rPr>
          <w:tab/>
        </w:r>
        <w:r w:rsidR="006108A4" w:rsidRPr="00E61BBE">
          <w:rPr>
            <w:rStyle w:val="Hyperlink"/>
            <w:noProof/>
          </w:rPr>
          <w:t>Modstridende naturinteresser</w:t>
        </w:r>
        <w:r w:rsidR="006108A4">
          <w:rPr>
            <w:noProof/>
            <w:webHidden/>
          </w:rPr>
          <w:tab/>
        </w:r>
        <w:r w:rsidR="006108A4">
          <w:rPr>
            <w:noProof/>
            <w:webHidden/>
          </w:rPr>
          <w:fldChar w:fldCharType="begin"/>
        </w:r>
        <w:r w:rsidR="006108A4">
          <w:rPr>
            <w:noProof/>
            <w:webHidden/>
          </w:rPr>
          <w:instrText xml:space="preserve"> PAGEREF _Toc406095674 \h </w:instrText>
        </w:r>
        <w:r w:rsidR="006108A4">
          <w:rPr>
            <w:noProof/>
            <w:webHidden/>
          </w:rPr>
        </w:r>
        <w:r w:rsidR="006108A4">
          <w:rPr>
            <w:noProof/>
            <w:webHidden/>
          </w:rPr>
          <w:fldChar w:fldCharType="separate"/>
        </w:r>
        <w:r w:rsidR="00D67E76">
          <w:rPr>
            <w:noProof/>
            <w:webHidden/>
          </w:rPr>
          <w:t>14</w:t>
        </w:r>
        <w:r w:rsidR="006108A4">
          <w:rPr>
            <w:noProof/>
            <w:webHidden/>
          </w:rPr>
          <w:fldChar w:fldCharType="end"/>
        </w:r>
      </w:hyperlink>
    </w:p>
    <w:p w:rsidR="006108A4" w:rsidRDefault="002B52F9">
      <w:pPr>
        <w:pStyle w:val="Indholdsfortegnelse1"/>
        <w:rPr>
          <w:rFonts w:asciiTheme="minorHAnsi" w:eastAsiaTheme="minorEastAsia" w:hAnsiTheme="minorHAnsi" w:cstheme="minorBidi"/>
          <w:b w:val="0"/>
          <w:noProof/>
          <w:color w:val="auto"/>
          <w:sz w:val="22"/>
          <w:szCs w:val="22"/>
        </w:rPr>
      </w:pPr>
      <w:hyperlink w:anchor="_Toc406095675" w:history="1">
        <w:r w:rsidR="006108A4" w:rsidRPr="00E61BBE">
          <w:rPr>
            <w:rStyle w:val="Hyperlink"/>
            <w:noProof/>
          </w:rPr>
          <w:t>4.</w:t>
        </w:r>
        <w:r w:rsidR="006108A4">
          <w:rPr>
            <w:rFonts w:asciiTheme="minorHAnsi" w:eastAsiaTheme="minorEastAsia" w:hAnsiTheme="minorHAnsi" w:cstheme="minorBidi"/>
            <w:b w:val="0"/>
            <w:noProof/>
            <w:color w:val="auto"/>
            <w:sz w:val="22"/>
            <w:szCs w:val="22"/>
          </w:rPr>
          <w:tab/>
        </w:r>
        <w:r w:rsidR="006108A4" w:rsidRPr="00E61BBE">
          <w:rPr>
            <w:rStyle w:val="Hyperlink"/>
            <w:noProof/>
          </w:rPr>
          <w:t>Indsatsprogram</w:t>
        </w:r>
        <w:r w:rsidR="006108A4">
          <w:rPr>
            <w:noProof/>
            <w:webHidden/>
          </w:rPr>
          <w:tab/>
        </w:r>
        <w:r w:rsidR="006108A4">
          <w:rPr>
            <w:noProof/>
            <w:webHidden/>
          </w:rPr>
          <w:fldChar w:fldCharType="begin"/>
        </w:r>
        <w:r w:rsidR="006108A4">
          <w:rPr>
            <w:noProof/>
            <w:webHidden/>
          </w:rPr>
          <w:instrText xml:space="preserve"> PAGEREF _Toc406095675 \h </w:instrText>
        </w:r>
        <w:r w:rsidR="006108A4">
          <w:rPr>
            <w:noProof/>
            <w:webHidden/>
          </w:rPr>
        </w:r>
        <w:r w:rsidR="006108A4">
          <w:rPr>
            <w:noProof/>
            <w:webHidden/>
          </w:rPr>
          <w:fldChar w:fldCharType="separate"/>
        </w:r>
        <w:r w:rsidR="00D67E76">
          <w:rPr>
            <w:noProof/>
            <w:webHidden/>
          </w:rPr>
          <w:t>16</w:t>
        </w:r>
        <w:r w:rsidR="006108A4">
          <w:rPr>
            <w:noProof/>
            <w:webHidden/>
          </w:rPr>
          <w:fldChar w:fldCharType="end"/>
        </w:r>
      </w:hyperlink>
    </w:p>
    <w:p w:rsidR="00205630" w:rsidRDefault="00B11D94">
      <w:r>
        <w:rPr>
          <w:b/>
        </w:rPr>
        <w:fldChar w:fldCharType="end"/>
      </w:r>
    </w:p>
    <w:p w:rsidR="00205630" w:rsidRDefault="00205630"/>
    <w:p w:rsidR="00205630" w:rsidRDefault="00205630"/>
    <w:p w:rsidR="00205630" w:rsidRDefault="00205630"/>
    <w:p w:rsidR="00205630" w:rsidRDefault="00B11D94">
      <w:pPr>
        <w:spacing w:line="240" w:lineRule="auto"/>
      </w:pPr>
      <w:r>
        <w:br w:type="page"/>
      </w:r>
    </w:p>
    <w:p w:rsidR="00205630" w:rsidRDefault="00205630"/>
    <w:tbl>
      <w:tblPr>
        <w:tblStyle w:val="Tabel-Gitter10"/>
        <w:tblW w:w="0" w:type="auto"/>
        <w:tblLook w:val="04A0" w:firstRow="1" w:lastRow="0" w:firstColumn="1" w:lastColumn="0" w:noHBand="0" w:noVBand="1"/>
      </w:tblPr>
      <w:tblGrid>
        <w:gridCol w:w="3216"/>
        <w:gridCol w:w="4938"/>
      </w:tblGrid>
      <w:tr w:rsidR="00235134" w:rsidRPr="002879E4" w:rsidTr="00235134">
        <w:trPr>
          <w:trHeight w:val="5507"/>
        </w:trPr>
        <w:tc>
          <w:tcPr>
            <w:tcW w:w="3216" w:type="dxa"/>
          </w:tcPr>
          <w:p w:rsidR="00235134" w:rsidRPr="002879E4" w:rsidRDefault="00235134" w:rsidP="005F5021">
            <w:pPr>
              <w:spacing w:line="240" w:lineRule="auto"/>
              <w:rPr>
                <w:rFonts w:asciiTheme="minorHAnsi" w:hAnsiTheme="minorHAnsi"/>
                <w:sz w:val="22"/>
              </w:rPr>
            </w:pPr>
          </w:p>
          <w:p w:rsidR="00235134" w:rsidRPr="002879E4" w:rsidRDefault="00235134" w:rsidP="005F5021">
            <w:pPr>
              <w:spacing w:line="240" w:lineRule="auto"/>
              <w:rPr>
                <w:rFonts w:asciiTheme="minorHAnsi" w:hAnsiTheme="minorHAnsi"/>
                <w:sz w:val="22"/>
              </w:rPr>
            </w:pPr>
          </w:p>
          <w:p w:rsidR="00235134" w:rsidRPr="002879E4" w:rsidRDefault="00235134" w:rsidP="005F5021">
            <w:pPr>
              <w:spacing w:line="240" w:lineRule="auto"/>
              <w:rPr>
                <w:rFonts w:asciiTheme="minorHAnsi" w:hAnsiTheme="minorHAnsi"/>
                <w:sz w:val="22"/>
              </w:rPr>
            </w:pPr>
          </w:p>
          <w:p w:rsidR="00235134" w:rsidRPr="002879E4" w:rsidRDefault="00235134" w:rsidP="005F5021">
            <w:pPr>
              <w:spacing w:line="240" w:lineRule="auto"/>
              <w:rPr>
                <w:rFonts w:asciiTheme="minorHAnsi" w:hAnsiTheme="minorHAnsi"/>
                <w:sz w:val="22"/>
              </w:rPr>
            </w:pPr>
            <w:r w:rsidRPr="002879E4">
              <w:rPr>
                <w:rFonts w:asciiTheme="minorHAnsi" w:eastAsia="Times New Roman" w:hAnsiTheme="minorHAnsi" w:cs="Times New Roman"/>
                <w:color w:val="000000"/>
                <w:sz w:val="22"/>
                <w:szCs w:val="20"/>
                <w:lang w:eastAsia="da-DK"/>
              </w:rPr>
              <w:object w:dxaOrig="9465" w:dyaOrig="111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35pt;height:171.15pt" o:ole="">
                  <v:imagedata r:id="rId10" o:title=""/>
                </v:shape>
                <o:OLEObject Type="Embed" ProgID="PBrush" ShapeID="_x0000_i1025" DrawAspect="Content" ObjectID="_1516189211" r:id="rId11"/>
              </w:object>
            </w:r>
          </w:p>
          <w:p w:rsidR="008B0925" w:rsidRDefault="008B0925" w:rsidP="008B0925">
            <w:pPr>
              <w:rPr>
                <w:i/>
                <w:sz w:val="16"/>
              </w:rPr>
            </w:pPr>
            <w:r>
              <w:rPr>
                <w:i/>
                <w:sz w:val="16"/>
              </w:rPr>
              <w:t>Miljøminister Kirsten Brosbøl</w:t>
            </w:r>
          </w:p>
          <w:p w:rsidR="00235134" w:rsidRPr="002879E4" w:rsidRDefault="00235134" w:rsidP="005F5021">
            <w:pPr>
              <w:spacing w:line="240" w:lineRule="auto"/>
              <w:rPr>
                <w:rFonts w:asciiTheme="minorHAnsi" w:hAnsiTheme="minorHAnsi"/>
                <w:sz w:val="22"/>
              </w:rPr>
            </w:pPr>
          </w:p>
          <w:p w:rsidR="00235134" w:rsidRPr="002879E4" w:rsidRDefault="00235134" w:rsidP="005F5021">
            <w:pPr>
              <w:spacing w:line="240" w:lineRule="auto"/>
              <w:rPr>
                <w:rFonts w:asciiTheme="minorHAnsi" w:hAnsiTheme="minorHAnsi"/>
                <w:sz w:val="22"/>
              </w:rPr>
            </w:pPr>
          </w:p>
          <w:p w:rsidR="00235134" w:rsidRPr="002879E4" w:rsidRDefault="00235134" w:rsidP="005F5021">
            <w:pPr>
              <w:spacing w:line="240" w:lineRule="auto"/>
              <w:rPr>
                <w:rFonts w:asciiTheme="minorHAnsi" w:hAnsiTheme="minorHAnsi"/>
                <w:sz w:val="22"/>
              </w:rPr>
            </w:pPr>
          </w:p>
          <w:p w:rsidR="00235134" w:rsidRPr="002879E4" w:rsidRDefault="00235134" w:rsidP="005F5021">
            <w:pPr>
              <w:spacing w:line="240" w:lineRule="auto"/>
              <w:rPr>
                <w:rFonts w:asciiTheme="minorHAnsi" w:hAnsiTheme="minorHAnsi"/>
                <w:sz w:val="22"/>
              </w:rPr>
            </w:pPr>
          </w:p>
          <w:p w:rsidR="00235134" w:rsidRPr="002879E4" w:rsidRDefault="00235134" w:rsidP="005F5021">
            <w:pPr>
              <w:spacing w:line="240" w:lineRule="auto"/>
              <w:rPr>
                <w:rFonts w:asciiTheme="minorHAnsi" w:hAnsiTheme="minorHAnsi"/>
                <w:sz w:val="22"/>
              </w:rPr>
            </w:pPr>
          </w:p>
          <w:p w:rsidR="00235134" w:rsidRPr="002879E4" w:rsidRDefault="00235134" w:rsidP="005F5021">
            <w:pPr>
              <w:spacing w:line="240" w:lineRule="auto"/>
              <w:rPr>
                <w:rFonts w:asciiTheme="minorHAnsi" w:hAnsiTheme="minorHAnsi"/>
                <w:sz w:val="22"/>
              </w:rPr>
            </w:pPr>
          </w:p>
          <w:p w:rsidR="00235134" w:rsidRPr="002879E4" w:rsidRDefault="00235134" w:rsidP="005F5021">
            <w:pPr>
              <w:spacing w:line="240" w:lineRule="auto"/>
              <w:rPr>
                <w:rFonts w:asciiTheme="minorHAnsi" w:hAnsiTheme="minorHAnsi"/>
                <w:sz w:val="22"/>
              </w:rPr>
            </w:pPr>
          </w:p>
        </w:tc>
        <w:tc>
          <w:tcPr>
            <w:tcW w:w="4938" w:type="dxa"/>
          </w:tcPr>
          <w:p w:rsidR="00235134" w:rsidRPr="002879E4" w:rsidRDefault="00235134" w:rsidP="005F5021">
            <w:pPr>
              <w:spacing w:line="240" w:lineRule="auto"/>
              <w:rPr>
                <w:sz w:val="28"/>
                <w:szCs w:val="28"/>
              </w:rPr>
            </w:pPr>
            <w:r w:rsidRPr="002879E4">
              <w:rPr>
                <w:b/>
                <w:sz w:val="28"/>
                <w:szCs w:val="28"/>
              </w:rPr>
              <w:t>En stor indsats for dansk natur</w:t>
            </w:r>
          </w:p>
          <w:p w:rsidR="00235134" w:rsidRPr="002879E4" w:rsidRDefault="00235134" w:rsidP="005F5021">
            <w:pPr>
              <w:spacing w:line="240" w:lineRule="auto"/>
              <w:rPr>
                <w:sz w:val="20"/>
                <w:szCs w:val="20"/>
              </w:rPr>
            </w:pPr>
          </w:p>
          <w:p w:rsidR="00235134" w:rsidRPr="002879E4" w:rsidRDefault="00235134" w:rsidP="005F5021">
            <w:pPr>
              <w:spacing w:line="240" w:lineRule="auto"/>
              <w:rPr>
                <w:sz w:val="20"/>
                <w:szCs w:val="20"/>
              </w:rPr>
            </w:pPr>
            <w:r w:rsidRPr="002879E4">
              <w:rPr>
                <w:sz w:val="20"/>
                <w:szCs w:val="20"/>
              </w:rPr>
              <w:t>Jeg sender nu forslag til Natura 2000-planer 2016-2021 i offentlig høring. Planerne er en hjørnesten i regeringens ambitiøse Naturplan Danmark, som blev offentliggjort i oktober 2014.</w:t>
            </w:r>
          </w:p>
          <w:p w:rsidR="00235134" w:rsidRPr="002879E4" w:rsidRDefault="00235134" w:rsidP="005F5021">
            <w:pPr>
              <w:spacing w:line="240" w:lineRule="auto"/>
              <w:rPr>
                <w:sz w:val="20"/>
                <w:szCs w:val="20"/>
              </w:rPr>
            </w:pPr>
          </w:p>
          <w:p w:rsidR="00235134" w:rsidRPr="002879E4" w:rsidRDefault="00235134" w:rsidP="005F5021">
            <w:pPr>
              <w:spacing w:line="240" w:lineRule="auto"/>
              <w:rPr>
                <w:sz w:val="20"/>
                <w:szCs w:val="20"/>
              </w:rPr>
            </w:pPr>
            <w:r w:rsidRPr="002879E4">
              <w:rPr>
                <w:sz w:val="20"/>
                <w:szCs w:val="20"/>
              </w:rPr>
              <w:t>Natura 2000-områderne indeholder nogle af Danmarks største og mest værdifulde naturområder fra Skagens Gren og Det Sydfynske Øhav til Vadehavet og Paradisbakkerne på Bornholm.</w:t>
            </w:r>
          </w:p>
          <w:p w:rsidR="00235134" w:rsidRPr="002879E4" w:rsidRDefault="00235134" w:rsidP="005F5021">
            <w:pPr>
              <w:spacing w:line="240" w:lineRule="auto"/>
              <w:rPr>
                <w:sz w:val="20"/>
                <w:szCs w:val="20"/>
              </w:rPr>
            </w:pPr>
          </w:p>
          <w:p w:rsidR="00235134" w:rsidRPr="002879E4" w:rsidRDefault="00235134" w:rsidP="005F5021">
            <w:pPr>
              <w:spacing w:line="240" w:lineRule="auto"/>
              <w:rPr>
                <w:sz w:val="20"/>
                <w:szCs w:val="20"/>
              </w:rPr>
            </w:pPr>
            <w:r w:rsidRPr="002879E4">
              <w:rPr>
                <w:sz w:val="20"/>
                <w:szCs w:val="20"/>
              </w:rPr>
              <w:t>Natura 2000-planerne rummer - udover en langsigtet målsætning for hvert eneste af de i alt 252 naturområder - et ambitiøst indsatsprogram for kommunernes og offentlige lodsejeres aktiviteter frem til og med år 2021.</w:t>
            </w:r>
          </w:p>
          <w:p w:rsidR="00235134" w:rsidRPr="002879E4" w:rsidRDefault="00235134" w:rsidP="005F5021">
            <w:pPr>
              <w:spacing w:line="240" w:lineRule="auto"/>
              <w:rPr>
                <w:sz w:val="20"/>
                <w:szCs w:val="20"/>
              </w:rPr>
            </w:pPr>
          </w:p>
          <w:p w:rsidR="00235134" w:rsidRPr="002879E4" w:rsidRDefault="00235134" w:rsidP="005F5021">
            <w:pPr>
              <w:spacing w:line="240" w:lineRule="auto"/>
              <w:rPr>
                <w:sz w:val="20"/>
                <w:szCs w:val="20"/>
              </w:rPr>
            </w:pPr>
            <w:r w:rsidRPr="002879E4">
              <w:rPr>
                <w:sz w:val="20"/>
                <w:szCs w:val="20"/>
              </w:rPr>
              <w:t>Indsatsen er den hidtil største samlede danske naturindsats og understøtter kommunernes indsats for at skabe Det Grønne Danmarkskort, der er en del af Naturplan Danmark.  Dertil kommer, at indsatsen i områderne ikke alene vil gavne naturen, men også vil være med til at gavne vandmiljøet og bidrage til klimaindsatsen.</w:t>
            </w:r>
          </w:p>
          <w:p w:rsidR="00235134" w:rsidRPr="002879E4" w:rsidRDefault="00235134" w:rsidP="005F5021">
            <w:pPr>
              <w:spacing w:line="240" w:lineRule="auto"/>
              <w:rPr>
                <w:sz w:val="20"/>
                <w:szCs w:val="20"/>
              </w:rPr>
            </w:pPr>
          </w:p>
          <w:p w:rsidR="00235134" w:rsidRPr="002879E4" w:rsidRDefault="00235134" w:rsidP="005F5021">
            <w:pPr>
              <w:spacing w:line="240" w:lineRule="auto"/>
              <w:rPr>
                <w:sz w:val="20"/>
                <w:szCs w:val="20"/>
              </w:rPr>
            </w:pPr>
            <w:r w:rsidRPr="002879E4">
              <w:rPr>
                <w:sz w:val="20"/>
                <w:szCs w:val="20"/>
              </w:rPr>
              <w:t>Med planerne vil regeringen samtidig leve op til Danmarks EU-forpligtelse ved især at have fokus på:</w:t>
            </w:r>
          </w:p>
          <w:p w:rsidR="00235134" w:rsidRPr="002879E4" w:rsidRDefault="00235134" w:rsidP="00235134">
            <w:pPr>
              <w:numPr>
                <w:ilvl w:val="0"/>
                <w:numId w:val="31"/>
              </w:numPr>
              <w:spacing w:line="240" w:lineRule="auto"/>
              <w:contextualSpacing/>
              <w:rPr>
                <w:sz w:val="20"/>
                <w:szCs w:val="20"/>
              </w:rPr>
            </w:pPr>
            <w:r w:rsidRPr="002879E4">
              <w:rPr>
                <w:sz w:val="20"/>
                <w:szCs w:val="20"/>
              </w:rPr>
              <w:t>At konsolidere indsatsen fra den første generation planer, som på grund af forsinkelse har haft en kortere periode til gennemførsel.</w:t>
            </w:r>
          </w:p>
          <w:p w:rsidR="00235134" w:rsidRPr="002879E4" w:rsidRDefault="00235134" w:rsidP="00235134">
            <w:pPr>
              <w:numPr>
                <w:ilvl w:val="0"/>
                <w:numId w:val="31"/>
              </w:numPr>
              <w:spacing w:line="240" w:lineRule="auto"/>
              <w:contextualSpacing/>
              <w:rPr>
                <w:sz w:val="20"/>
                <w:szCs w:val="20"/>
              </w:rPr>
            </w:pPr>
            <w:r w:rsidRPr="002879E4">
              <w:rPr>
                <w:sz w:val="20"/>
                <w:szCs w:val="20"/>
              </w:rPr>
              <w:t>At fortsætte arbejdet med at sikre naturpleje på de arealer, hvor det er nødvendigt for at sikre og forbedre naturtilstanden.</w:t>
            </w:r>
          </w:p>
          <w:p w:rsidR="00235134" w:rsidRPr="002879E4" w:rsidRDefault="00235134" w:rsidP="00235134">
            <w:pPr>
              <w:numPr>
                <w:ilvl w:val="0"/>
                <w:numId w:val="31"/>
              </w:numPr>
              <w:spacing w:line="240" w:lineRule="auto"/>
              <w:contextualSpacing/>
              <w:rPr>
                <w:sz w:val="20"/>
                <w:szCs w:val="20"/>
              </w:rPr>
            </w:pPr>
            <w:r w:rsidRPr="002879E4">
              <w:rPr>
                <w:sz w:val="20"/>
                <w:szCs w:val="20"/>
              </w:rPr>
              <w:t xml:space="preserve">At tage hul på en indsats for at forbedre naturen gennem etablering af sammenhængende naturarealer. </w:t>
            </w:r>
          </w:p>
          <w:p w:rsidR="00235134" w:rsidRPr="002879E4" w:rsidRDefault="00235134" w:rsidP="00235134">
            <w:pPr>
              <w:numPr>
                <w:ilvl w:val="0"/>
                <w:numId w:val="31"/>
              </w:numPr>
              <w:spacing w:line="240" w:lineRule="auto"/>
              <w:contextualSpacing/>
              <w:rPr>
                <w:sz w:val="20"/>
                <w:szCs w:val="20"/>
              </w:rPr>
            </w:pPr>
            <w:r w:rsidRPr="002879E4">
              <w:rPr>
                <w:sz w:val="20"/>
                <w:szCs w:val="20"/>
              </w:rPr>
              <w:t>At sikre en indsats mod invasive arter og målrettet forbedre levesteder for bl.a. truede ynglefugle.</w:t>
            </w:r>
          </w:p>
          <w:p w:rsidR="00235134" w:rsidRPr="002879E4" w:rsidRDefault="00235134" w:rsidP="005F5021">
            <w:pPr>
              <w:spacing w:line="240" w:lineRule="auto"/>
              <w:rPr>
                <w:sz w:val="20"/>
                <w:szCs w:val="20"/>
              </w:rPr>
            </w:pPr>
          </w:p>
          <w:p w:rsidR="00235134" w:rsidRPr="002879E4" w:rsidRDefault="00235134" w:rsidP="005F5021">
            <w:pPr>
              <w:spacing w:line="240" w:lineRule="auto"/>
              <w:rPr>
                <w:sz w:val="20"/>
                <w:szCs w:val="20"/>
              </w:rPr>
            </w:pPr>
            <w:r w:rsidRPr="002879E4">
              <w:rPr>
                <w:sz w:val="20"/>
                <w:szCs w:val="20"/>
              </w:rPr>
              <w:t>Det er vigtigt, at planerne denne gang kommer til tiden, så de indsatser der er nødvendige, og de penge der er afsat, kan komme i arbejde for at sikre og forbedre den danske natur.</w:t>
            </w:r>
          </w:p>
          <w:p w:rsidR="00235134" w:rsidRPr="002879E4" w:rsidRDefault="00235134" w:rsidP="005F5021">
            <w:pPr>
              <w:spacing w:line="240" w:lineRule="auto"/>
              <w:rPr>
                <w:sz w:val="20"/>
                <w:szCs w:val="20"/>
              </w:rPr>
            </w:pPr>
          </w:p>
          <w:p w:rsidR="00235134" w:rsidRPr="002879E4" w:rsidRDefault="00235134" w:rsidP="005F5021">
            <w:pPr>
              <w:spacing w:line="240" w:lineRule="auto"/>
              <w:rPr>
                <w:sz w:val="20"/>
                <w:szCs w:val="20"/>
              </w:rPr>
            </w:pPr>
            <w:r w:rsidRPr="002879E4">
              <w:rPr>
                <w:sz w:val="20"/>
                <w:szCs w:val="20"/>
              </w:rPr>
              <w:t>Jeg håber, at alle parter vil gå positivt ind i arbejdet med at diskutere planerne i den offentlige høring og ikke mindst i arbejdet med den efterfølgende gennemførsel af planerne.</w:t>
            </w:r>
          </w:p>
          <w:p w:rsidR="00235134" w:rsidRPr="002879E4" w:rsidRDefault="00235134" w:rsidP="005F5021">
            <w:pPr>
              <w:spacing w:line="240" w:lineRule="auto"/>
              <w:rPr>
                <w:sz w:val="20"/>
                <w:szCs w:val="20"/>
              </w:rPr>
            </w:pPr>
          </w:p>
          <w:p w:rsidR="00235134" w:rsidRPr="002879E4" w:rsidRDefault="00235134" w:rsidP="005F5021">
            <w:pPr>
              <w:spacing w:line="240" w:lineRule="auto"/>
              <w:rPr>
                <w:sz w:val="20"/>
                <w:szCs w:val="20"/>
              </w:rPr>
            </w:pPr>
          </w:p>
          <w:p w:rsidR="00235134" w:rsidRPr="002879E4" w:rsidRDefault="00235134" w:rsidP="005F5021">
            <w:pPr>
              <w:spacing w:line="240" w:lineRule="auto"/>
              <w:rPr>
                <w:sz w:val="20"/>
                <w:szCs w:val="20"/>
              </w:rPr>
            </w:pPr>
          </w:p>
        </w:tc>
      </w:tr>
    </w:tbl>
    <w:p w:rsidR="00205630" w:rsidRDefault="00B11D94">
      <w:pPr>
        <w:pStyle w:val="Overskrift1"/>
      </w:pPr>
      <w:bookmarkStart w:id="0" w:name="_Toc406095662"/>
      <w:r>
        <w:lastRenderedPageBreak/>
        <w:t>Natura 2000-planlægning</w:t>
      </w:r>
      <w:bookmarkEnd w:id="0"/>
    </w:p>
    <w:p w:rsidR="00205630" w:rsidRDefault="00B11D94">
      <w:pPr>
        <w:spacing w:before="240" w:after="240"/>
      </w:pPr>
      <w:r>
        <w:t>EU’s Natura 2000-direktiver (</w:t>
      </w:r>
      <w:hyperlink r:id="rId12" w:history="1">
        <w:r>
          <w:rPr>
            <w:rStyle w:val="Hyperlink"/>
            <w:color w:val="000000"/>
          </w:rPr>
          <w:t>fuglebeskyttelsesdirektivet-</w:t>
        </w:r>
      </w:hyperlink>
      <w:r>
        <w:t xml:space="preserve"> og </w:t>
      </w:r>
      <w:hyperlink r:id="rId13" w:history="1">
        <w:r>
          <w:rPr>
            <w:rStyle w:val="Hyperlink"/>
            <w:color w:val="000000"/>
          </w:rPr>
          <w:t>habitatdirektivet</w:t>
        </w:r>
      </w:hyperlink>
      <w:r>
        <w:t>) forpligter Danmark til at gøre den nødvendige indsats for at sikre eller genoprette gunstig bevaringsstatus for en række naturtyper og arter, som på europæisk plan er sjældne, truede eller karakteristiske. Det sker ved at imødegå væsentlige negative påvirkninger og ved at opnå og sikre en god eller gunstig naturtilstand bl.a. gennem hensigtsmæssig forvaltning af de udpegede Natura 2000-områder. Med en målrettet forvaltningsindsats i områderne bidrager Danmark til at sikre den europæiske natur og dens biologiske mangfoldighed.</w:t>
      </w:r>
    </w:p>
    <w:p w:rsidR="0099438C" w:rsidRPr="0099438C" w:rsidRDefault="0099438C" w:rsidP="0099438C">
      <w:r w:rsidRPr="0099438C">
        <w:t xml:space="preserve">Med henblik på at fastsætte de langsigtede mål og prioritere den nødvendige indsats udarbejder Naturstyrelsen efter bestemmelserne i </w:t>
      </w:r>
      <w:hyperlink r:id="rId14" w:history="1">
        <w:r w:rsidRPr="0099438C">
          <w:rPr>
            <w:rStyle w:val="Hyperlink"/>
          </w:rPr>
          <w:t>miljømålsloven</w:t>
        </w:r>
      </w:hyperlink>
      <w:r w:rsidRPr="0099438C">
        <w:t xml:space="preserve"> og </w:t>
      </w:r>
      <w:hyperlink r:id="rId15" w:history="1">
        <w:r w:rsidRPr="0099438C">
          <w:rPr>
            <w:rStyle w:val="Hyperlink"/>
          </w:rPr>
          <w:t>skovloven</w:t>
        </w:r>
      </w:hyperlink>
      <w:r w:rsidRPr="0099438C">
        <w:t xml:space="preserve"> en Natura 2000-plan, der dækker hvert af de 252 udpegede beskyttelsesområder. Natura 2000-planen revideres hvert 6. år, dog gælder planlægningen for de skovbevoksede, fredskovpligtige arealer (skovloven) for 12 år. De langsigtede mål gælder for flere planperioder, mens retningslinjerne for indsats revideres i hver planperiode. </w:t>
      </w:r>
    </w:p>
    <w:p w:rsidR="0099438C" w:rsidRDefault="0099438C"/>
    <w:p w:rsidR="00205630" w:rsidRDefault="00B11D94">
      <w:r>
        <w:t> </w:t>
      </w:r>
    </w:p>
    <w:p w:rsidR="00205630" w:rsidRDefault="002B52F9">
      <w:pPr>
        <w:rPr>
          <w:i/>
        </w:rPr>
      </w:pPr>
      <w:r>
        <w:pict>
          <v:shape id="_x0000_i1026" style="width:398.05pt;height:5in" coordsize="" o:spt="100" adj="0,,0" path="" stroked="f">
            <v:stroke joinstyle="miter"/>
            <v:imagedata r:id="rId16" o:title=""/>
            <v:formulas/>
            <v:path o:connecttype="segments"/>
          </v:shape>
        </w:pict>
      </w:r>
    </w:p>
    <w:p w:rsidR="00205630" w:rsidRPr="00776B0E" w:rsidRDefault="00B11D94">
      <w:pPr>
        <w:rPr>
          <w:color w:val="31849B" w:themeColor="accent5" w:themeShade="BF"/>
          <w:sz w:val="15"/>
          <w:szCs w:val="15"/>
        </w:rPr>
      </w:pPr>
      <w:r w:rsidRPr="00776B0E">
        <w:rPr>
          <w:color w:val="31849B" w:themeColor="accent5" w:themeShade="BF"/>
          <w:sz w:val="15"/>
          <w:szCs w:val="15"/>
        </w:rPr>
        <w:t>Processen i tilblivelsen af en Natura 2000-plan.</w:t>
      </w:r>
    </w:p>
    <w:p w:rsidR="00205630" w:rsidRDefault="00205630"/>
    <w:p w:rsidR="00205630" w:rsidRDefault="00B11D94">
      <w:pPr>
        <w:spacing w:before="240" w:after="240"/>
      </w:pPr>
      <w:r>
        <w:t>Den foreliggende plan afløser i 2016 de</w:t>
      </w:r>
      <w:r w:rsidR="002B52F9">
        <w:t>n</w:t>
      </w:r>
      <w:r>
        <w:t xml:space="preserve"> gældende Natura </w:t>
      </w:r>
      <w:r w:rsidR="002B52F9">
        <w:t>2000-plan</w:t>
      </w:r>
      <w:r>
        <w:t xml:space="preserve"> 2010-15 efter miljømålsloven, idet indsatsprogrammet for planperioden 2010-15 forudsættes gennemført indenfor den gældende planperiode</w:t>
      </w:r>
      <w:r w:rsidR="00B809C2">
        <w:t xml:space="preserve"> (jvf., denne plans indsatsprogram, afsnit 4)</w:t>
      </w:r>
      <w:r>
        <w:t>, mens de dele af planerne, som er udarbejdet efter skovloven gælder fra 2010-21. Denne plan er således 2. generation af Natura 2000-plan for arealer, der ikke er omfattet af skovloven.</w:t>
      </w:r>
    </w:p>
    <w:p w:rsidR="00205630" w:rsidRDefault="00B11D94">
      <w:pPr>
        <w:spacing w:before="240" w:after="240"/>
      </w:pPr>
      <w:r>
        <w:t>På grundlag af erfaringerne med de første Natura 2000-planer reviderede folketinget i 2013 miljømålsloven med henblik på at sikre en bedre dialog og inddragelse i Natura 2000-planlægningen og i gennemførslen af planerne. Desuden er der indgået aftale mellem regeringen og Kommunernes Landsforening om, at 2. plangeneration i højere grad skal tage afsæt i mål- og rammestyring af kommunernes gennemførsel af planerne. I denne plan kommer det til udtryk i rammerne for planperiodens indsats.</w:t>
      </w:r>
    </w:p>
    <w:p w:rsidR="00205630" w:rsidRDefault="00B11D94">
      <w:pPr>
        <w:spacing w:before="240" w:after="240"/>
      </w:pPr>
      <w:r>
        <w:t>Natura 2000-planen gælder for de arter og naturtyper, der har begrundet udpegningen af det enkelte beskyttelsesområde; men bidrager også til at sikre andre arter og naturtyper, som forekommer i områderne. Natura 2000-planen har fokus på arealrelaterede indsatser og rummer ikke indsatskrav vedrørende vandkvalitet, som sikres gennem vandplanlægningen, ligesom der heller ikke stilles konkrete krav til reduktion af kvælstofdeposition, som ligeledes reguleres ad anden vej, ikke mindst gennem husdyrgodkendelsesloven.</w:t>
      </w:r>
    </w:p>
    <w:p w:rsidR="00205630" w:rsidRDefault="00B11D94">
      <w:r>
        <w:t> </w:t>
      </w:r>
    </w:p>
    <w:p w:rsidR="00205630" w:rsidRDefault="00B11D94">
      <w:pPr>
        <w:pStyle w:val="Overskrift2"/>
      </w:pPr>
      <w:bookmarkStart w:id="1" w:name="_Toc406095663"/>
      <w:r>
        <w:t>Natura 2000-planen er bindende for myndighederne</w:t>
      </w:r>
      <w:bookmarkEnd w:id="1"/>
    </w:p>
    <w:p w:rsidR="00205630" w:rsidRDefault="00B11D94">
      <w:pPr>
        <w:spacing w:before="240" w:after="240"/>
      </w:pPr>
      <w:r>
        <w:t>Natura 2000-planen er bindende, således at alle myndigheder i deres arealdrift, naturforvaltning eller ved udøvelse af deres beføjelser i henhold til lovgivningen i øvrigt skal lægge Natura 2000-planen til g</w:t>
      </w:r>
      <w:r w:rsidR="002B52F9">
        <w:t>rund. Denne plan vedtages i 2016</w:t>
      </w:r>
      <w:r>
        <w:t xml:space="preserve"> og erstatter Natura 2000-plan 2010-15, hvorefter kommunerne udarbejder bindende handleplaner med fokus på opgavefordelingen mellem myndigheder og tidsfølgen for gennemførslen af indsatsen. Offentlige lodsejere er bundet af planens langsigtede målsætninger og kan vælge at gennemføre disse direkte i egne drifts- og plejeplaner. På områder som f.eks. fiske</w:t>
      </w:r>
      <w:r w:rsidR="00B809C2">
        <w:t>ri</w:t>
      </w:r>
      <w:r>
        <w:t>loven og vildtforvaltningsloven, hvor staten er myndighed, følges op med nationale strategier.</w:t>
      </w:r>
    </w:p>
    <w:p w:rsidR="00205630" w:rsidRDefault="00B11D94">
      <w:pPr>
        <w:spacing w:before="240" w:after="240"/>
      </w:pPr>
      <w:r>
        <w:t>Natura 2000-planen tilsidesætter ikke øvrig lovgivning, og den indsats, som iværksættes for at sikre planens gennemførsel, skal have de fornødne tilladelser, dispensationer m.v., evt. på grundlag af konsekvensvurderinger.  I det omfang, indsatsen entydigt kan defineres som nødvendig for lokalitetens forvaltning, er en konsekvensvurdering efter habitatdirektivet ikke påkrævet, men der kan være andre hensyn efter lovgivningen, der spiller ind. Der er ikke gennemført vurdering i henhold til habitatdirektivets artikel 6.3 af de enkelte planer, idet planer, som direkte er forbundet med eller nødvendige for Natura 2000-områdets forvaltning, heller ikke er omfattet af kravet om screening og evt. konsekvensvurdering. Desuden er der ikke i planen taget stilling til forvaltningsindsatsens lokalisering eller valgte forvaltningsmetoder.</w:t>
      </w:r>
    </w:p>
    <w:p w:rsidR="00205630" w:rsidRDefault="00B11D94">
      <w:pPr>
        <w:spacing w:before="240" w:after="240"/>
      </w:pPr>
      <w:r>
        <w:t>Der er i Natura 2000-planen taget stilling til afvejning mellem modsatrettede naturinteresser i de tilfælde, hvor sådanne allerede på nuværende tidspunkt i planlægningen kan forudses, og hvor en sådan afvejning er forbundet med eller nødvendig for forvaltningen af området. Eventuelt konkrete konsekvenser af denne afvejning vil blive afklaret i forbindelse med gennemførslen af planen og valg af virkemidler.</w:t>
      </w:r>
    </w:p>
    <w:p w:rsidR="00205630" w:rsidRDefault="00B11D94">
      <w:pPr>
        <w:spacing w:before="240" w:after="240"/>
      </w:pPr>
      <w:r>
        <w:t xml:space="preserve">Natura 2000-planens målsætninger er bindende og skal anvendes ved konsekvensvurdering i forbindelse med myndighedsudøvelse, jf. Miljøministeriets bekendtgørelse nr. 408 af 1. maj 2007 (med senere ændringer) om udpegning og administration af internationale </w:t>
      </w:r>
      <w:r>
        <w:lastRenderedPageBreak/>
        <w:t>naturbeskyttelsesområder samt beskyttelse af visse arter og tilsvarende regler om konsekvensvurdering i andre ministeriers lovgivning.</w:t>
      </w:r>
    </w:p>
    <w:p w:rsidR="00205630" w:rsidRDefault="00B11D94">
      <w:pPr>
        <w:spacing w:before="240" w:after="240"/>
      </w:pPr>
      <w:r>
        <w:t>Indsatsprogrammets retningslinjer er ligeledes bindende og danner sammen med målsætningerne for naturen i området grundlag for handleplan, samt eventuel anden prioritering af forvaltningsindsats i området. Retningslinjer for skovbevoksede, fredskovpligtige arealer, der er gældende til og med 2021, er indskrevet i Natura 2000-plan 2009-15 for området.</w:t>
      </w:r>
    </w:p>
    <w:p w:rsidR="00205630" w:rsidRDefault="00B11D94">
      <w:r>
        <w:t> </w:t>
      </w:r>
    </w:p>
    <w:p w:rsidR="00205630" w:rsidRDefault="00B11D94">
      <w:pPr>
        <w:pStyle w:val="Overskrift2"/>
      </w:pPr>
      <w:bookmarkStart w:id="2" w:name="_Toc406095664"/>
      <w:r>
        <w:t>Naturtilstand og gunstig bevaringsstatus</w:t>
      </w:r>
      <w:bookmarkEnd w:id="2"/>
    </w:p>
    <w:p w:rsidR="00205630" w:rsidRDefault="00B11D94">
      <w:pPr>
        <w:spacing w:before="240" w:after="240"/>
      </w:pPr>
      <w:r>
        <w:t>Danmark har en forpligtelse til at sikre eller genoprette gunstig bevaringsstatus for de naturtyper og arter, der begrunder udpegningen af de enkelte Natura 2000-områder. Bevaringsstatus er en vurdering af, hvordan naturtypens eller artens tilstand vil være i fremtiden, såfremt der ikke sker ændringer i udnyttelsen, de negative påvirkninger eller forvaltningen i forhold til i dag, og der er således tale om en slags prognose for naturtypernes og arternes udviklingsretning.</w:t>
      </w:r>
    </w:p>
    <w:p w:rsidR="00205630" w:rsidRDefault="00B11D94">
      <w:pPr>
        <w:spacing w:before="240" w:after="240"/>
      </w:pPr>
      <w:r>
        <w:t>Til brug for Natura 2000-planlægningen er der for en række naturtyper og nogle arter udviklet et naturtilstandssystem, der på baggrund af artsammensætning og umiddelbart synlige, forvaltningsbare strukturparametre som f.eks. tilgroning, udtørring og forstyrrelser angiver den aktuelle tilstand for naturtypen eller artens levested, jf. Miljøministeriets bekendtgørelse nr. 815 af 27. juni 2007 med senere revisioner om klassificering og fastsættelse af mål for naturtilstanden i internationale naturbeskyttelsesområder. Tilstanden opgøres på en skala fra I-V, hvor naturtyper eller levesteder i tilstandsklasse I og II med en vedvarende nødvendig drift har gunstig bevaringsstatus, mens der for naturtyper eller arters levesteder i tilstandsklasse III-V typisk skal gennemføres en større indledende forvaltningsindsats, før en vedvarende drift vil være tilstrækkeligt til at sikre arealet på sigt.</w:t>
      </w:r>
    </w:p>
    <w:p w:rsidR="00205630" w:rsidRDefault="00B11D94">
      <w:pPr>
        <w:spacing w:before="240" w:after="240"/>
      </w:pPr>
      <w:r>
        <w:t> </w:t>
      </w:r>
    </w:p>
    <w:p w:rsidR="00205630" w:rsidRDefault="00B11D94">
      <w:r>
        <w:t> </w:t>
      </w:r>
    </w:p>
    <w:p w:rsidR="00205630" w:rsidRDefault="002B52F9">
      <w:pPr>
        <w:rPr>
          <w:i/>
        </w:rPr>
      </w:pPr>
      <w:r>
        <w:pict>
          <v:shape id="_x0000_i1027" style="width:396pt;height:186.8pt" coordsize="" o:spt="100" adj="0,,0" path="" stroked="f">
            <v:stroke joinstyle="miter"/>
            <v:imagedata r:id="rId17" o:title=""/>
            <v:formulas/>
            <v:path o:connecttype="segments"/>
          </v:shape>
        </w:pict>
      </w:r>
    </w:p>
    <w:p w:rsidR="00205630" w:rsidRPr="00776B0E" w:rsidRDefault="00B11D94">
      <w:pPr>
        <w:rPr>
          <w:color w:val="31849B" w:themeColor="accent5" w:themeShade="BF"/>
          <w:sz w:val="15"/>
          <w:szCs w:val="15"/>
        </w:rPr>
      </w:pPr>
      <w:r w:rsidRPr="00776B0E">
        <w:rPr>
          <w:color w:val="31849B" w:themeColor="accent5" w:themeShade="BF"/>
          <w:sz w:val="15"/>
          <w:szCs w:val="15"/>
        </w:rPr>
        <w:t>Tilstandsklasser for naturtyper.</w:t>
      </w:r>
    </w:p>
    <w:p w:rsidR="00205630" w:rsidRDefault="00205630"/>
    <w:p w:rsidR="00205630" w:rsidRDefault="00B11D94">
      <w:r>
        <w:t>De enkelte parametre i tilstandssystemet gennemgås i basisanalyserne, og det kan heraf ses, hvilke tiltag der kan iværksættes for at sikre eller genoprette naturtyperne eller arternes levesteder.</w:t>
      </w:r>
    </w:p>
    <w:p w:rsidR="00205630" w:rsidRDefault="00B11D94">
      <w:pPr>
        <w:pStyle w:val="Overskrift1"/>
      </w:pPr>
      <w:bookmarkStart w:id="3" w:name="_Toc406095665"/>
      <w:r>
        <w:lastRenderedPageBreak/>
        <w:t>Områdebeskrivelse</w:t>
      </w:r>
      <w:bookmarkEnd w:id="3"/>
    </w:p>
    <w:p w:rsidR="00205630" w:rsidRDefault="00205630"/>
    <w:p w:rsidR="0049225A" w:rsidRDefault="0049225A" w:rsidP="0049225A">
      <w:pPr>
        <w:spacing w:before="240" w:after="240"/>
      </w:pPr>
      <w:r>
        <w:t>Natura 2000-området består af habitatområde H45. Mål og indsats for udpegningsgrundlaget for habitatområdet gælder kun for arealer inden for den pågældende udpegning.</w:t>
      </w:r>
    </w:p>
    <w:p w:rsidR="0049225A" w:rsidRDefault="0049225A" w:rsidP="0049225A">
      <w:pPr>
        <w:spacing w:before="240" w:after="240"/>
      </w:pPr>
      <w:r>
        <w:t>Dette Natura 2000-område er specielt udpeget på grundlag af en væsentlig tilstedeværelse af følgende naturtyper og/el</w:t>
      </w:r>
      <w:r w:rsidR="00594AAB">
        <w:t xml:space="preserve">ler arters levesteder: vandløb, næringsrig sø, </w:t>
      </w:r>
      <w:r>
        <w:t>våd hed</w:t>
      </w:r>
      <w:r w:rsidR="00594AAB">
        <w:t>e, tør hede , skovbevokset tørvemose , elle- og askeskov samt odder og grøn kølleguldsmed</w:t>
      </w:r>
      <w:r>
        <w:t>. Natura 2000-planens målsætninger og indsatsprogram er væsentlige elementer i beskyttelsen af disse og af en generel sikring og forbedring af områdets naturværdier.</w:t>
      </w:r>
    </w:p>
    <w:p w:rsidR="00B11D94" w:rsidRDefault="00B11D94"/>
    <w:p w:rsidR="00205630" w:rsidRDefault="002B52F9">
      <w:pPr>
        <w:rPr>
          <w:i/>
        </w:rPr>
      </w:pPr>
      <w:r>
        <w:pict>
          <v:shape id="_x0000_i1028" style="width:393.3pt;height:294.8pt" coordsize="" o:spt="100" o:bordertopcolor="this" o:borderleftcolor="this" o:borderbottomcolor="this" o:borderrightcolor="this" adj="0,,0" path="" stroked="f">
            <v:stroke joinstyle="miter"/>
            <v:imagedata r:id="rId18" o:title=""/>
            <v:formulas/>
            <v:path o:connecttype="segments"/>
            <w10:bordertop type="single" width="4"/>
            <w10:borderleft type="single" width="4"/>
            <w10:borderbottom type="single" width="4"/>
            <w10:borderright type="single" width="4"/>
          </v:shape>
        </w:pict>
      </w:r>
    </w:p>
    <w:p w:rsidR="00205630" w:rsidRPr="00B11D94" w:rsidRDefault="00B11D94">
      <w:pPr>
        <w:rPr>
          <w:color w:val="4F81BD" w:themeColor="accent1"/>
          <w:sz w:val="15"/>
          <w:szCs w:val="15"/>
        </w:rPr>
      </w:pPr>
      <w:r w:rsidRPr="00B11D94">
        <w:rPr>
          <w:color w:val="4F81BD" w:themeColor="accent1"/>
          <w:sz w:val="15"/>
          <w:szCs w:val="15"/>
        </w:rPr>
        <w:t>Vældområde i dal vest for Galgebakken ved Gjern By. Foto: Henriette Bjerregaard.</w:t>
      </w:r>
    </w:p>
    <w:p w:rsidR="00205630" w:rsidRDefault="00205630"/>
    <w:p w:rsidR="00205630" w:rsidRDefault="00B11D94">
      <w:pPr>
        <w:spacing w:before="240" w:after="240"/>
      </w:pPr>
      <w:r>
        <w:t xml:space="preserve">Natura 2000-området har et areal på 815 ha – heraf er 47 ha statsejet. Det afgrænses som vist i basisanalysen og på Naturstyrelsens hjemmeside </w:t>
      </w:r>
      <w:hyperlink r:id="rId19" w:history="1">
        <w:r>
          <w:rPr>
            <w:rStyle w:val="Hyperlink"/>
            <w:color w:val="000000"/>
          </w:rPr>
          <w:t>www.naturstyrelsen.dk</w:t>
        </w:r>
      </w:hyperlink>
      <w:r>
        <w:t xml:space="preserve">. På Naturstyrelsens hjemmeside </w:t>
      </w:r>
      <w:hyperlink r:id="rId20" w:history="1">
        <w:r>
          <w:rPr>
            <w:rStyle w:val="Hyperlink"/>
            <w:color w:val="000000"/>
          </w:rPr>
          <w:t>www.naturstyrelsen.dk</w:t>
        </w:r>
      </w:hyperlink>
      <w:r>
        <w:t xml:space="preserve"> samt i figuren neden for er de</w:t>
      </w:r>
      <w:r w:rsidR="00265346">
        <w:t>t</w:t>
      </w:r>
      <w:r>
        <w:t xml:space="preserve"> angivet hvilke naturtyper og arter, der udgør udpegningsgrundlaget for dette område.</w:t>
      </w:r>
    </w:p>
    <w:p w:rsidR="00205630" w:rsidRDefault="00B11D94">
      <w:pPr>
        <w:spacing w:before="240" w:after="240"/>
      </w:pPr>
      <w:r>
        <w:t xml:space="preserve">Området domineres af en strækning af Gudenåen på 23 km og det store tilløb Gjern Å. Begge vandløb indeholder en artsrig vandplantevegetation på stort set hele strækningen. I Gudenåen </w:t>
      </w:r>
      <w:r>
        <w:lastRenderedPageBreak/>
        <w:t>findes desuden grøn kølleguldsmed, og odderen lever ved begge vandløbsstrækninger. Damflagermus er registret umiddelbart uden for området, og lever derfor formentlig også inden for området.</w:t>
      </w:r>
    </w:p>
    <w:p w:rsidR="00205630" w:rsidRPr="00776B0E" w:rsidRDefault="00B11D94">
      <w:pPr>
        <w:spacing w:before="240" w:after="240"/>
        <w:rPr>
          <w:szCs w:val="18"/>
        </w:rPr>
      </w:pPr>
      <w:r>
        <w:t xml:space="preserve">Derudover findes det store naturområde Gjern Bakker og Egedals Mose umiddelbart nord herfor. Gjern Bakker ligger fremskudt, afgrænset af Gudenådalen og Gjernådalen med St. Troldhøj som det højeste, markante udsigtspunkt. Neden for Gjern Bakker breder Gjern Ådal sig ud. Ved udløbet i </w:t>
      </w:r>
      <w:r w:rsidRPr="00776B0E">
        <w:rPr>
          <w:szCs w:val="18"/>
        </w:rPr>
        <w:t>Gudenå vider åen sig ud til en egentlig sø - Sminge Sø. I Gjern Ådal findes en del arealer med den våde skovnaturtype elle- og askeskov.</w:t>
      </w:r>
    </w:p>
    <w:p w:rsidR="008B0925" w:rsidRPr="00776B0E" w:rsidRDefault="00B11D94" w:rsidP="008B0925">
      <w:pPr>
        <w:spacing w:before="240" w:after="240"/>
        <w:rPr>
          <w:szCs w:val="18"/>
        </w:rPr>
      </w:pPr>
      <w:r w:rsidRPr="00776B0E">
        <w:rPr>
          <w:szCs w:val="18"/>
        </w:rPr>
        <w:t xml:space="preserve">Natura 2000-området ligger i Silkeborg Kommune og indenfor </w:t>
      </w:r>
      <w:r w:rsidR="008B0925" w:rsidRPr="00776B0E">
        <w:rPr>
          <w:szCs w:val="18"/>
        </w:rPr>
        <w:t>vandområdedistrikt Jylland og Fyn.</w:t>
      </w:r>
    </w:p>
    <w:p w:rsidR="008B0925" w:rsidRPr="00776B0E" w:rsidRDefault="00B11D94" w:rsidP="00776B0E">
      <w:pPr>
        <w:pStyle w:val="Kommentartekst"/>
        <w:spacing w:line="260" w:lineRule="atLeast"/>
        <w:rPr>
          <w:sz w:val="18"/>
          <w:szCs w:val="18"/>
        </w:rPr>
      </w:pPr>
      <w:r w:rsidRPr="00776B0E">
        <w:rPr>
          <w:sz w:val="18"/>
          <w:szCs w:val="18"/>
        </w:rPr>
        <w:t xml:space="preserve">De væsentligste naturforvaltningsmæssige opgaver i området knytter sig til fortsat sikring af drift på de lysåbne naturarealer </w:t>
      </w:r>
      <w:r w:rsidR="008B0925" w:rsidRPr="00776B0E">
        <w:rPr>
          <w:sz w:val="18"/>
          <w:szCs w:val="18"/>
        </w:rPr>
        <w:t>og rydning af vedplantetilgroning. Derudover skal en fortsat spredning af invasive arter standses. Arealerne med våd hede bør sikres en hensigtsmæssig hydrologi.</w:t>
      </w:r>
    </w:p>
    <w:p w:rsidR="00205630" w:rsidRPr="00776B0E" w:rsidRDefault="00B11D94">
      <w:pPr>
        <w:spacing w:before="240" w:after="240"/>
        <w:rPr>
          <w:szCs w:val="18"/>
        </w:rPr>
      </w:pPr>
      <w:r w:rsidRPr="00776B0E">
        <w:rPr>
          <w:szCs w:val="18"/>
        </w:rPr>
        <w:t>En mere detaljeret områdebeskrivelse findes i basisanalysen.</w:t>
      </w:r>
    </w:p>
    <w:p w:rsidR="00205630" w:rsidRDefault="00B11D94">
      <w:r>
        <w:t> </w:t>
      </w:r>
    </w:p>
    <w:p w:rsidR="00205630" w:rsidRDefault="00B11D94">
      <w:pPr>
        <w:pStyle w:val="Overskrift2"/>
      </w:pPr>
      <w:bookmarkStart w:id="4" w:name="_Toc406095666"/>
      <w:r>
        <w:t>Områdets udpegningsgrundlag</w:t>
      </w:r>
      <w:bookmarkEnd w:id="4"/>
    </w:p>
    <w:p w:rsidR="00205630" w:rsidRDefault="00205630"/>
    <w:tbl>
      <w:tblPr>
        <w:tblStyle w:val="BorderlessTable"/>
        <w:tblW w:w="0" w:type="auto"/>
        <w:tblInd w:w="8" w:type="dxa"/>
        <w:tblLook w:val="04A0" w:firstRow="1" w:lastRow="0" w:firstColumn="1" w:lastColumn="0" w:noHBand="0" w:noVBand="1"/>
      </w:tblPr>
      <w:tblGrid>
        <w:gridCol w:w="1337"/>
        <w:gridCol w:w="2650"/>
        <w:gridCol w:w="672"/>
        <w:gridCol w:w="2613"/>
        <w:gridCol w:w="674"/>
      </w:tblGrid>
      <w:tr w:rsidR="00205630">
        <w:tc>
          <w:tcPr>
            <w:tcW w:w="9524" w:type="dxa"/>
            <w:gridSpan w:val="5"/>
            <w:shd w:val="clear" w:color="auto" w:fill="8CCAB4"/>
          </w:tcPr>
          <w:p w:rsidR="00205630" w:rsidRDefault="00B11D94">
            <w:pPr>
              <w:rPr>
                <w:b/>
              </w:rPr>
            </w:pPr>
            <w:r>
              <w:rPr>
                <w:b/>
              </w:rPr>
              <w:t>Udpegningsg</w:t>
            </w:r>
            <w:r w:rsidR="0074120A">
              <w:rPr>
                <w:b/>
              </w:rPr>
              <w:t>rundlag for Habitatområde nr. 49</w:t>
            </w:r>
          </w:p>
        </w:tc>
      </w:tr>
      <w:tr w:rsidR="00205630">
        <w:tc>
          <w:tcPr>
            <w:tcW w:w="1474" w:type="dxa"/>
          </w:tcPr>
          <w:p w:rsidR="00205630" w:rsidRDefault="00B11D94">
            <w:r>
              <w:t>Naturtyper:</w:t>
            </w:r>
          </w:p>
        </w:tc>
        <w:tc>
          <w:tcPr>
            <w:tcW w:w="3118" w:type="dxa"/>
          </w:tcPr>
          <w:p w:rsidR="00205630" w:rsidRDefault="00B11D94">
            <w:r>
              <w:t>Næringsrig sø (3150)</w:t>
            </w:r>
          </w:p>
        </w:tc>
        <w:tc>
          <w:tcPr>
            <w:tcW w:w="907" w:type="dxa"/>
          </w:tcPr>
          <w:p w:rsidR="00205630" w:rsidRDefault="00205630"/>
        </w:tc>
        <w:tc>
          <w:tcPr>
            <w:tcW w:w="3118" w:type="dxa"/>
          </w:tcPr>
          <w:p w:rsidR="00205630" w:rsidRDefault="00B11D94">
            <w:r>
              <w:t>Vandløb (3260)</w:t>
            </w:r>
          </w:p>
        </w:tc>
        <w:tc>
          <w:tcPr>
            <w:tcW w:w="907" w:type="dxa"/>
          </w:tcPr>
          <w:p w:rsidR="00205630" w:rsidRDefault="00205630"/>
        </w:tc>
      </w:tr>
      <w:tr w:rsidR="00205630">
        <w:tc>
          <w:tcPr>
            <w:tcW w:w="1474" w:type="dxa"/>
            <w:shd w:val="clear" w:color="auto" w:fill="C6E4DA"/>
          </w:tcPr>
          <w:p w:rsidR="00205630" w:rsidRDefault="00205630"/>
        </w:tc>
        <w:tc>
          <w:tcPr>
            <w:tcW w:w="3118" w:type="dxa"/>
            <w:shd w:val="clear" w:color="auto" w:fill="C6E4DA"/>
          </w:tcPr>
          <w:p w:rsidR="00205630" w:rsidRDefault="00B11D94">
            <w:r>
              <w:t>Å-mudderbanke (3270)</w:t>
            </w:r>
          </w:p>
        </w:tc>
        <w:tc>
          <w:tcPr>
            <w:tcW w:w="907" w:type="dxa"/>
            <w:shd w:val="clear" w:color="auto" w:fill="C6E4DA"/>
          </w:tcPr>
          <w:p w:rsidR="00205630" w:rsidRDefault="00205630"/>
        </w:tc>
        <w:tc>
          <w:tcPr>
            <w:tcW w:w="3118" w:type="dxa"/>
            <w:shd w:val="clear" w:color="auto" w:fill="C6E4DA"/>
          </w:tcPr>
          <w:p w:rsidR="00205630" w:rsidRDefault="00B11D94">
            <w:r>
              <w:t>Våd hede (4010)</w:t>
            </w:r>
          </w:p>
        </w:tc>
        <w:tc>
          <w:tcPr>
            <w:tcW w:w="907" w:type="dxa"/>
            <w:shd w:val="clear" w:color="auto" w:fill="C6E4DA"/>
          </w:tcPr>
          <w:p w:rsidR="00205630" w:rsidRDefault="00205630"/>
        </w:tc>
      </w:tr>
      <w:tr w:rsidR="00205630">
        <w:tc>
          <w:tcPr>
            <w:tcW w:w="1474" w:type="dxa"/>
          </w:tcPr>
          <w:p w:rsidR="00205630" w:rsidRDefault="00205630"/>
        </w:tc>
        <w:tc>
          <w:tcPr>
            <w:tcW w:w="3118" w:type="dxa"/>
          </w:tcPr>
          <w:p w:rsidR="00205630" w:rsidRDefault="00B11D94">
            <w:r>
              <w:t>Tør hede (4030)</w:t>
            </w:r>
          </w:p>
        </w:tc>
        <w:tc>
          <w:tcPr>
            <w:tcW w:w="907" w:type="dxa"/>
          </w:tcPr>
          <w:p w:rsidR="00205630" w:rsidRDefault="00205630"/>
        </w:tc>
        <w:tc>
          <w:tcPr>
            <w:tcW w:w="3118" w:type="dxa"/>
          </w:tcPr>
          <w:p w:rsidR="00205630" w:rsidRDefault="00B11D94">
            <w:r>
              <w:t>Surt overdrev* (6230)</w:t>
            </w:r>
          </w:p>
        </w:tc>
        <w:tc>
          <w:tcPr>
            <w:tcW w:w="907" w:type="dxa"/>
          </w:tcPr>
          <w:p w:rsidR="00205630" w:rsidRDefault="00205630"/>
        </w:tc>
      </w:tr>
      <w:tr w:rsidR="00205630">
        <w:tc>
          <w:tcPr>
            <w:tcW w:w="1474" w:type="dxa"/>
            <w:shd w:val="clear" w:color="auto" w:fill="C6E4DA"/>
          </w:tcPr>
          <w:p w:rsidR="00205630" w:rsidRDefault="00205630"/>
        </w:tc>
        <w:tc>
          <w:tcPr>
            <w:tcW w:w="3118" w:type="dxa"/>
            <w:shd w:val="clear" w:color="auto" w:fill="C6E4DA"/>
          </w:tcPr>
          <w:p w:rsidR="00205630" w:rsidRDefault="00B11D94">
            <w:r>
              <w:t>Urtebræmme (6430)</w:t>
            </w:r>
          </w:p>
        </w:tc>
        <w:tc>
          <w:tcPr>
            <w:tcW w:w="907" w:type="dxa"/>
            <w:shd w:val="clear" w:color="auto" w:fill="C6E4DA"/>
          </w:tcPr>
          <w:p w:rsidR="00205630" w:rsidRDefault="00205630"/>
        </w:tc>
        <w:tc>
          <w:tcPr>
            <w:tcW w:w="3118" w:type="dxa"/>
            <w:shd w:val="clear" w:color="auto" w:fill="C6E4DA"/>
          </w:tcPr>
          <w:p w:rsidR="00205630" w:rsidRDefault="00B11D94">
            <w:r>
              <w:t>Hængesæk (7140)</w:t>
            </w:r>
          </w:p>
        </w:tc>
        <w:tc>
          <w:tcPr>
            <w:tcW w:w="907" w:type="dxa"/>
            <w:shd w:val="clear" w:color="auto" w:fill="C6E4DA"/>
          </w:tcPr>
          <w:p w:rsidR="00205630" w:rsidRDefault="00205630"/>
        </w:tc>
      </w:tr>
      <w:tr w:rsidR="00205630">
        <w:tc>
          <w:tcPr>
            <w:tcW w:w="1474" w:type="dxa"/>
          </w:tcPr>
          <w:p w:rsidR="00205630" w:rsidRDefault="00205630"/>
        </w:tc>
        <w:tc>
          <w:tcPr>
            <w:tcW w:w="3118" w:type="dxa"/>
          </w:tcPr>
          <w:p w:rsidR="00205630" w:rsidRDefault="00B11D94">
            <w:r>
              <w:t>Kildevæld* (7220)</w:t>
            </w:r>
          </w:p>
        </w:tc>
        <w:tc>
          <w:tcPr>
            <w:tcW w:w="907" w:type="dxa"/>
          </w:tcPr>
          <w:p w:rsidR="00205630" w:rsidRDefault="00205630"/>
        </w:tc>
        <w:tc>
          <w:tcPr>
            <w:tcW w:w="3118" w:type="dxa"/>
          </w:tcPr>
          <w:p w:rsidR="00205630" w:rsidRDefault="00B11D94">
            <w:r>
              <w:t>Rigkær (7230)</w:t>
            </w:r>
          </w:p>
        </w:tc>
        <w:tc>
          <w:tcPr>
            <w:tcW w:w="907" w:type="dxa"/>
          </w:tcPr>
          <w:p w:rsidR="00205630" w:rsidRDefault="00205630"/>
        </w:tc>
      </w:tr>
      <w:tr w:rsidR="00205630">
        <w:tc>
          <w:tcPr>
            <w:tcW w:w="1474" w:type="dxa"/>
            <w:shd w:val="clear" w:color="auto" w:fill="C6E4DA"/>
          </w:tcPr>
          <w:p w:rsidR="00205630" w:rsidRDefault="00205630"/>
        </w:tc>
        <w:tc>
          <w:tcPr>
            <w:tcW w:w="3118" w:type="dxa"/>
            <w:shd w:val="clear" w:color="auto" w:fill="C6E4DA"/>
          </w:tcPr>
          <w:p w:rsidR="00205630" w:rsidRDefault="00B11D94">
            <w:r>
              <w:t>Bøg på mor med kristtorn (9120)</w:t>
            </w:r>
          </w:p>
        </w:tc>
        <w:tc>
          <w:tcPr>
            <w:tcW w:w="907" w:type="dxa"/>
            <w:shd w:val="clear" w:color="auto" w:fill="C6E4DA"/>
          </w:tcPr>
          <w:p w:rsidR="00205630" w:rsidRDefault="00205630"/>
        </w:tc>
        <w:tc>
          <w:tcPr>
            <w:tcW w:w="3118" w:type="dxa"/>
            <w:shd w:val="clear" w:color="auto" w:fill="C6E4DA"/>
          </w:tcPr>
          <w:p w:rsidR="00205630" w:rsidRDefault="00B11D94">
            <w:r>
              <w:t>Stilkege-krat (9190)</w:t>
            </w:r>
          </w:p>
        </w:tc>
        <w:tc>
          <w:tcPr>
            <w:tcW w:w="907" w:type="dxa"/>
            <w:shd w:val="clear" w:color="auto" w:fill="C6E4DA"/>
          </w:tcPr>
          <w:p w:rsidR="00205630" w:rsidRDefault="00205630"/>
        </w:tc>
      </w:tr>
      <w:tr w:rsidR="00205630">
        <w:tc>
          <w:tcPr>
            <w:tcW w:w="1474" w:type="dxa"/>
          </w:tcPr>
          <w:p w:rsidR="00205630" w:rsidRDefault="00205630"/>
        </w:tc>
        <w:tc>
          <w:tcPr>
            <w:tcW w:w="3118" w:type="dxa"/>
          </w:tcPr>
          <w:p w:rsidR="00205630" w:rsidRDefault="00B11D94">
            <w:r>
              <w:t>Skovbevokset tørvemose* (91D0)</w:t>
            </w:r>
          </w:p>
        </w:tc>
        <w:tc>
          <w:tcPr>
            <w:tcW w:w="907" w:type="dxa"/>
          </w:tcPr>
          <w:p w:rsidR="00205630" w:rsidRDefault="00205630"/>
        </w:tc>
        <w:tc>
          <w:tcPr>
            <w:tcW w:w="3118" w:type="dxa"/>
          </w:tcPr>
          <w:p w:rsidR="00205630" w:rsidRDefault="00B11D94">
            <w:r>
              <w:t>Elle- og askeskov* (91E0)</w:t>
            </w:r>
          </w:p>
        </w:tc>
        <w:tc>
          <w:tcPr>
            <w:tcW w:w="907" w:type="dxa"/>
          </w:tcPr>
          <w:p w:rsidR="00205630" w:rsidRDefault="00205630"/>
        </w:tc>
      </w:tr>
      <w:tr w:rsidR="00205630">
        <w:tc>
          <w:tcPr>
            <w:tcW w:w="1474" w:type="dxa"/>
            <w:shd w:val="clear" w:color="auto" w:fill="C6E4DA"/>
          </w:tcPr>
          <w:p w:rsidR="00205630" w:rsidRDefault="00B11D94">
            <w:r>
              <w:t>Arter:</w:t>
            </w:r>
          </w:p>
        </w:tc>
        <w:tc>
          <w:tcPr>
            <w:tcW w:w="3118" w:type="dxa"/>
            <w:shd w:val="clear" w:color="auto" w:fill="C6E4DA"/>
          </w:tcPr>
          <w:p w:rsidR="00205630" w:rsidRDefault="00B11D94">
            <w:r>
              <w:t>Grøn kølleguldsmed (1037)</w:t>
            </w:r>
          </w:p>
        </w:tc>
        <w:tc>
          <w:tcPr>
            <w:tcW w:w="907" w:type="dxa"/>
            <w:shd w:val="clear" w:color="auto" w:fill="C6E4DA"/>
          </w:tcPr>
          <w:p w:rsidR="00205630" w:rsidRDefault="00205630"/>
        </w:tc>
        <w:tc>
          <w:tcPr>
            <w:tcW w:w="3118" w:type="dxa"/>
            <w:shd w:val="clear" w:color="auto" w:fill="C6E4DA"/>
          </w:tcPr>
          <w:p w:rsidR="00205630" w:rsidRDefault="00B11D94">
            <w:r>
              <w:t>Bæklampret (1096)</w:t>
            </w:r>
          </w:p>
        </w:tc>
        <w:tc>
          <w:tcPr>
            <w:tcW w:w="907" w:type="dxa"/>
            <w:shd w:val="clear" w:color="auto" w:fill="C6E4DA"/>
          </w:tcPr>
          <w:p w:rsidR="00205630" w:rsidRDefault="00205630"/>
        </w:tc>
      </w:tr>
      <w:tr w:rsidR="00205630">
        <w:tc>
          <w:tcPr>
            <w:tcW w:w="1474" w:type="dxa"/>
          </w:tcPr>
          <w:p w:rsidR="00205630" w:rsidRDefault="00205630"/>
        </w:tc>
        <w:tc>
          <w:tcPr>
            <w:tcW w:w="3118" w:type="dxa"/>
          </w:tcPr>
          <w:p w:rsidR="00205630" w:rsidRDefault="00B11D94">
            <w:r>
              <w:t>Stor vandsalamander (1166)</w:t>
            </w:r>
          </w:p>
        </w:tc>
        <w:tc>
          <w:tcPr>
            <w:tcW w:w="907" w:type="dxa"/>
          </w:tcPr>
          <w:p w:rsidR="00205630" w:rsidRDefault="00205630"/>
        </w:tc>
        <w:tc>
          <w:tcPr>
            <w:tcW w:w="3118" w:type="dxa"/>
          </w:tcPr>
          <w:p w:rsidR="00205630" w:rsidRDefault="00B11D94">
            <w:r>
              <w:t>Damflagermus (1318)</w:t>
            </w:r>
          </w:p>
        </w:tc>
        <w:tc>
          <w:tcPr>
            <w:tcW w:w="907" w:type="dxa"/>
          </w:tcPr>
          <w:p w:rsidR="00205630" w:rsidRDefault="00205630"/>
        </w:tc>
      </w:tr>
      <w:tr w:rsidR="00205630">
        <w:tc>
          <w:tcPr>
            <w:tcW w:w="1474" w:type="dxa"/>
            <w:shd w:val="clear" w:color="auto" w:fill="C6E4DA"/>
          </w:tcPr>
          <w:p w:rsidR="00205630" w:rsidRDefault="00205630"/>
        </w:tc>
        <w:tc>
          <w:tcPr>
            <w:tcW w:w="3118" w:type="dxa"/>
            <w:shd w:val="clear" w:color="auto" w:fill="C6E4DA"/>
          </w:tcPr>
          <w:p w:rsidR="00205630" w:rsidRDefault="00B11D94">
            <w:r>
              <w:t>Odder (1355)</w:t>
            </w:r>
          </w:p>
        </w:tc>
        <w:tc>
          <w:tcPr>
            <w:tcW w:w="907" w:type="dxa"/>
            <w:shd w:val="clear" w:color="auto" w:fill="C6E4DA"/>
          </w:tcPr>
          <w:p w:rsidR="00205630" w:rsidRDefault="00205630"/>
        </w:tc>
        <w:tc>
          <w:tcPr>
            <w:tcW w:w="3118" w:type="dxa"/>
            <w:shd w:val="clear" w:color="auto" w:fill="C6E4DA"/>
          </w:tcPr>
          <w:p w:rsidR="00205630" w:rsidRDefault="00205630"/>
        </w:tc>
        <w:tc>
          <w:tcPr>
            <w:tcW w:w="907" w:type="dxa"/>
            <w:shd w:val="clear" w:color="auto" w:fill="C6E4DA"/>
          </w:tcPr>
          <w:p w:rsidR="00205630" w:rsidRDefault="00205630"/>
        </w:tc>
      </w:tr>
    </w:tbl>
    <w:p w:rsidR="0049225A" w:rsidRDefault="0049225A" w:rsidP="0049225A">
      <w:pPr>
        <w:spacing w:line="240" w:lineRule="auto"/>
      </w:pPr>
    </w:p>
    <w:p w:rsidR="00B11D94" w:rsidRDefault="00B11D94" w:rsidP="00776B0E">
      <w:pPr>
        <w:spacing w:line="240" w:lineRule="auto"/>
        <w:rPr>
          <w:color w:val="4F81BD" w:themeColor="accent1"/>
          <w:sz w:val="15"/>
          <w:szCs w:val="15"/>
        </w:rPr>
      </w:pPr>
      <w:r w:rsidRPr="00776B0E">
        <w:rPr>
          <w:color w:val="31849B" w:themeColor="accent5" w:themeShade="BF"/>
          <w:sz w:val="15"/>
          <w:szCs w:val="15"/>
        </w:rPr>
        <w:t>Naturtyper og arter, der udgør det gældende udpegningsgrundlag for Natura 2000-området. Tal i parentes henviser til de talkoder, som benyttes for naturtyper og arter fra habitatdirektivets bilag 1 og 2. * angiver at der er tale om en prioriteret naturtype. Udpegningsgrundlag for habitatområder og fuglebeskyttelsesområder er blevet revideret som beskrevet oven for.</w:t>
      </w:r>
      <w:r w:rsidRPr="00B11D94">
        <w:rPr>
          <w:color w:val="4F81BD" w:themeColor="accent1"/>
          <w:sz w:val="15"/>
          <w:szCs w:val="15"/>
        </w:rPr>
        <w:t xml:space="preserve"> </w:t>
      </w:r>
    </w:p>
    <w:p w:rsidR="00B11D94" w:rsidRDefault="00B11D94">
      <w:pPr>
        <w:rPr>
          <w:color w:val="4F81BD" w:themeColor="accent1"/>
          <w:sz w:val="15"/>
          <w:szCs w:val="15"/>
        </w:rPr>
      </w:pPr>
    </w:p>
    <w:p w:rsidR="00B11D94" w:rsidRDefault="00B11D94">
      <w:pPr>
        <w:rPr>
          <w:color w:val="4F81BD" w:themeColor="accent1"/>
          <w:sz w:val="15"/>
          <w:szCs w:val="15"/>
        </w:rPr>
      </w:pPr>
    </w:p>
    <w:p w:rsidR="00B11D94" w:rsidRPr="00B11D94" w:rsidRDefault="00B11D94">
      <w:pPr>
        <w:rPr>
          <w:color w:val="4F81BD" w:themeColor="accent1"/>
          <w:sz w:val="15"/>
          <w:szCs w:val="15"/>
        </w:rPr>
      </w:pPr>
    </w:p>
    <w:p w:rsidR="00205630" w:rsidRDefault="00B11D94">
      <w:pPr>
        <w:pStyle w:val="Overskrift2"/>
      </w:pPr>
      <w:bookmarkStart w:id="5" w:name="_Toc406095667"/>
      <w:r>
        <w:t>Tilstanden for områdets udpegede natur</w:t>
      </w:r>
      <w:bookmarkEnd w:id="5"/>
    </w:p>
    <w:p w:rsidR="00205630" w:rsidRDefault="00B11D94">
      <w:pPr>
        <w:spacing w:before="240" w:after="240"/>
      </w:pPr>
      <w:r>
        <w:t>Neden for er vist den vurderede tilstand for de af områdets naturtyper og levesteder for arter, hvor der er udviklet et tilstandsvurderingssystem. Se basisanalysen for beskrivelse af metoder og en mere detaljeret omtale af naturens tilstand i området.</w:t>
      </w:r>
    </w:p>
    <w:p w:rsidR="00205630" w:rsidRDefault="00B11D94">
      <w:r>
        <w:t> </w:t>
      </w:r>
    </w:p>
    <w:p w:rsidR="0049225A" w:rsidRDefault="0049225A"/>
    <w:p w:rsidR="0049225A" w:rsidRDefault="0049225A"/>
    <w:p w:rsidR="00776B0E" w:rsidRDefault="00776B0E"/>
    <w:p w:rsidR="0049225A" w:rsidRDefault="0049225A"/>
    <w:p w:rsidR="0049225A" w:rsidRDefault="0049225A"/>
    <w:p w:rsidR="00205630" w:rsidRDefault="00B11D94">
      <w:pPr>
        <w:pStyle w:val="Overskrift3"/>
      </w:pPr>
      <w:bookmarkStart w:id="6" w:name="_Toc406095668"/>
      <w:r>
        <w:lastRenderedPageBreak/>
        <w:t>Terrestriske naturtypers arealfordeling og tilstand</w:t>
      </w:r>
      <w:bookmarkEnd w:id="6"/>
    </w:p>
    <w:p w:rsidR="00205630" w:rsidRDefault="00205630"/>
    <w:p w:rsidR="00205630" w:rsidRDefault="00205630"/>
    <w:p w:rsidR="00115FBA" w:rsidRDefault="002B52F9" w:rsidP="00115FBA">
      <w:pPr>
        <w:spacing w:line="240" w:lineRule="auto"/>
        <w:rPr>
          <w:color w:val="4F81BD"/>
          <w:sz w:val="15"/>
          <w:szCs w:val="15"/>
        </w:rPr>
      </w:pPr>
      <w:r>
        <w:pict>
          <v:shape id="_x0000_i1029" style="width:398.05pt;height:373.6pt" coordsize="" o:spt="100" adj="0,,0" path="" stroked="f">
            <v:stroke joinstyle="miter"/>
            <v:imagedata r:id="rId21" o:title=""/>
            <v:formulas/>
            <v:path o:connecttype="segments"/>
          </v:shape>
        </w:pict>
      </w:r>
      <w:r w:rsidR="00115FBA">
        <w:rPr>
          <w:color w:val="4F81BD"/>
          <w:sz w:val="15"/>
          <w:szCs w:val="15"/>
        </w:rPr>
        <w:t xml:space="preserve">De kortlagte naturtypers areal fordelt på tilstandsklasser ved kortlægningen i 2010-12. Pga. pladshensyn har det ikke været muligt at vise data mere detaljeret end det er tilfældet i planens figurer. En mere detaljeret præsentation af data findes i basisanalysen for området eller i </w:t>
      </w:r>
      <w:hyperlink r:id="rId22" w:history="1">
        <w:r w:rsidR="00115FBA">
          <w:rPr>
            <w:rStyle w:val="Hyperlink"/>
            <w:color w:val="4F81BD"/>
            <w:sz w:val="15"/>
            <w:szCs w:val="15"/>
          </w:rPr>
          <w:t>MiljøGis</w:t>
        </w:r>
      </w:hyperlink>
      <w:r w:rsidR="00115FBA">
        <w:rPr>
          <w:color w:val="4F81BD"/>
          <w:sz w:val="15"/>
          <w:szCs w:val="15"/>
        </w:rPr>
        <w:t>. Her vises data for Natura 2000-basisanalyserne, revideret december 2014. Dette er de data, der ligger til grund for forslag til Natura 2000-planer 2016-21, der er sendt i høring 19. december 2014 til 10. april 2015. Det er muligt at downloade alle data, der vises i MiljøGis, således at man kan arbejde med dem i egne IT-systemer.</w:t>
      </w:r>
    </w:p>
    <w:p w:rsidR="00B809C2" w:rsidRPr="0049225A" w:rsidRDefault="00B809C2" w:rsidP="00115FBA"/>
    <w:p w:rsidR="00205630" w:rsidRDefault="00B11D94" w:rsidP="00B809C2">
      <w:r>
        <w:t> </w:t>
      </w:r>
      <w:r w:rsidR="008B0925">
        <w:t xml:space="preserve">På </w:t>
      </w:r>
      <w:r>
        <w:t xml:space="preserve">våd hede (4010) </w:t>
      </w:r>
      <w:r w:rsidR="008B0925">
        <w:t>er</w:t>
      </w:r>
      <w:r>
        <w:t xml:space="preserve"> størstedelen af arealet i god tilstand. </w:t>
      </w:r>
      <w:r w:rsidR="008B0925">
        <w:t xml:space="preserve">På </w:t>
      </w:r>
      <w:r>
        <w:t>den tørre hede (4030) ses derimod en forringelse, da hele arealet nu er i mod</w:t>
      </w:r>
      <w:r w:rsidR="0049225A">
        <w:t>e</w:t>
      </w:r>
      <w:r>
        <w:t>rat eller ringe naturtilstand. Dette skyldes overvejende dårlig strukturtilstand, som hidrører fra tilgroning med træer og buske.</w:t>
      </w:r>
    </w:p>
    <w:p w:rsidR="00205630" w:rsidRDefault="00257A0D">
      <w:pPr>
        <w:spacing w:before="240" w:after="240"/>
      </w:pPr>
      <w:r>
        <w:t xml:space="preserve"> Kun en mindre del af arealet med surt overdrev (6230) er i</w:t>
      </w:r>
      <w:r w:rsidR="00B11D94">
        <w:t xml:space="preserve"> god tilstand</w:t>
      </w:r>
      <w:r>
        <w:t>.</w:t>
      </w:r>
      <w:r w:rsidR="00B11D94">
        <w:t xml:space="preserve"> Over halvdelen af arealet er i ringe tilstand, hvilket især skyldes dårlig artstilstand</w:t>
      </w:r>
      <w:r>
        <w:t xml:space="preserve"> og en høj direkte påvirkning fra landbrugsdrift.</w:t>
      </w:r>
    </w:p>
    <w:p w:rsidR="00205630" w:rsidRDefault="00B11D94">
      <w:pPr>
        <w:spacing w:before="240" w:after="240"/>
      </w:pPr>
      <w:r>
        <w:t xml:space="preserve">For de små arealer med hængesæk (7140) og rigkær (7230) </w:t>
      </w:r>
      <w:r w:rsidR="00257A0D">
        <w:t>er tilstanden moderat på ca. halvdelen af arealet, hvilken hænger sammen med tilgroning.</w:t>
      </w:r>
    </w:p>
    <w:p w:rsidR="00205630" w:rsidRDefault="00B11D94">
      <w:r>
        <w:t>De kortlagte er arealer med ikke-fredskovspligtig skov har overvejende høj til god skovtilstand.</w:t>
      </w:r>
    </w:p>
    <w:p w:rsidR="0049225A" w:rsidRDefault="0049225A"/>
    <w:p w:rsidR="0049225A" w:rsidRDefault="0049225A"/>
    <w:p w:rsidR="0049225A" w:rsidRDefault="0049225A"/>
    <w:p w:rsidR="00776B0E" w:rsidRDefault="00776B0E"/>
    <w:p w:rsidR="0049225A" w:rsidRDefault="0049225A"/>
    <w:p w:rsidR="0049225A" w:rsidRDefault="0049225A"/>
    <w:p w:rsidR="00205630" w:rsidRDefault="00B11D94">
      <w:pPr>
        <w:pStyle w:val="Overskrift3"/>
      </w:pPr>
      <w:bookmarkStart w:id="7" w:name="_Toc406095669"/>
      <w:r>
        <w:t>Sønaturtypers tilstand</w:t>
      </w:r>
      <w:bookmarkEnd w:id="7"/>
    </w:p>
    <w:p w:rsidR="00205630" w:rsidRDefault="00205630"/>
    <w:p w:rsidR="00205630" w:rsidRDefault="00205630"/>
    <w:p w:rsidR="00205630" w:rsidRDefault="002B52F9">
      <w:r>
        <w:pict>
          <v:shape id="_x0000_i1030" style="width:398.05pt;height:373.6pt" coordsize="" o:spt="100" adj="0,,0" path="" stroked="f">
            <v:stroke joinstyle="miter"/>
            <v:imagedata r:id="rId23" o:title=""/>
            <v:formulas/>
            <v:path o:connecttype="segments"/>
          </v:shape>
        </w:pict>
      </w:r>
    </w:p>
    <w:p w:rsidR="00205630" w:rsidRPr="00776B0E" w:rsidRDefault="00B11D94">
      <w:pPr>
        <w:rPr>
          <w:color w:val="31849B" w:themeColor="accent5" w:themeShade="BF"/>
          <w:sz w:val="15"/>
          <w:szCs w:val="15"/>
        </w:rPr>
      </w:pPr>
      <w:r w:rsidRPr="00776B0E">
        <w:rPr>
          <w:color w:val="31849B" w:themeColor="accent5" w:themeShade="BF"/>
          <w:sz w:val="15"/>
          <w:szCs w:val="15"/>
        </w:rPr>
        <w:t>Antal og tilstand af de kortlagte småsøer i området.</w:t>
      </w:r>
    </w:p>
    <w:p w:rsidR="00B11D94" w:rsidRDefault="00B11D94">
      <w:pPr>
        <w:rPr>
          <w:i/>
        </w:rPr>
      </w:pPr>
    </w:p>
    <w:p w:rsidR="00205630" w:rsidRDefault="00B11D94">
      <w:r>
        <w:t xml:space="preserve">Af </w:t>
      </w:r>
      <w:r w:rsidR="00257A0D">
        <w:t>20</w:t>
      </w:r>
      <w:r>
        <w:t xml:space="preserve"> kortlagte småsøer i Natura 2000-området er blot </w:t>
      </w:r>
      <w:r w:rsidR="00257A0D">
        <w:t>4</w:t>
      </w:r>
      <w:r>
        <w:t xml:space="preserve"> tilstandsvurderet. To er i god tilstand og </w:t>
      </w:r>
      <w:r w:rsidR="00257A0D">
        <w:t>to</w:t>
      </w:r>
      <w:r>
        <w:t xml:space="preserve"> i moderat tilstand.</w:t>
      </w:r>
    </w:p>
    <w:p w:rsidR="00B11D94" w:rsidRDefault="00B11D94"/>
    <w:p w:rsidR="00B11D94" w:rsidRDefault="00B11D94"/>
    <w:p w:rsidR="00B11D94" w:rsidRDefault="00B11D94"/>
    <w:p w:rsidR="00B11D94" w:rsidRDefault="00B11D94"/>
    <w:p w:rsidR="00B11D94" w:rsidRDefault="00B11D94"/>
    <w:p w:rsidR="00B11D94" w:rsidRDefault="00B11D94"/>
    <w:p w:rsidR="00B11D94" w:rsidRDefault="00B11D94"/>
    <w:p w:rsidR="00B11D94" w:rsidRDefault="00B11D94"/>
    <w:p w:rsidR="00B11D94" w:rsidRDefault="00B11D94"/>
    <w:p w:rsidR="00B11D94" w:rsidRDefault="00B11D94"/>
    <w:p w:rsidR="00B11D94" w:rsidRDefault="00B11D94"/>
    <w:p w:rsidR="00B11D94" w:rsidRDefault="00B11D94"/>
    <w:p w:rsidR="0049225A" w:rsidRDefault="0049225A"/>
    <w:p w:rsidR="0049225A" w:rsidRDefault="0049225A"/>
    <w:p w:rsidR="0049225A" w:rsidRDefault="0049225A"/>
    <w:p w:rsidR="0049225A" w:rsidRDefault="0049225A"/>
    <w:p w:rsidR="00205630" w:rsidRDefault="00B11D94">
      <w:pPr>
        <w:pStyle w:val="Overskrift3"/>
      </w:pPr>
      <w:bookmarkStart w:id="8" w:name="_Toc406095670"/>
      <w:r>
        <w:t>Arts levesteders tilstand</w:t>
      </w:r>
      <w:bookmarkEnd w:id="8"/>
    </w:p>
    <w:p w:rsidR="00205630" w:rsidRDefault="00205630"/>
    <w:p w:rsidR="00205630" w:rsidRDefault="00205630"/>
    <w:p w:rsidR="00205630" w:rsidRDefault="002B52F9">
      <w:r>
        <w:pict>
          <v:shape id="_x0000_i1031" style="width:398.7pt;height:373.6pt" coordsize="" o:spt="100" adj="0,,0" path="" stroked="f">
            <v:stroke joinstyle="miter"/>
            <v:imagedata r:id="rId24" o:title=""/>
            <v:formulas/>
            <v:path o:connecttype="segments"/>
          </v:shape>
        </w:pict>
      </w:r>
    </w:p>
    <w:p w:rsidR="00205630" w:rsidRPr="00776B0E" w:rsidRDefault="00B11D94">
      <w:pPr>
        <w:rPr>
          <w:color w:val="31849B" w:themeColor="accent5" w:themeShade="BF"/>
          <w:sz w:val="15"/>
          <w:szCs w:val="15"/>
        </w:rPr>
      </w:pPr>
      <w:r w:rsidRPr="00776B0E">
        <w:rPr>
          <w:color w:val="31849B" w:themeColor="accent5" w:themeShade="BF"/>
          <w:sz w:val="15"/>
          <w:szCs w:val="15"/>
        </w:rPr>
        <w:t>Tilstandsvurdering af områdets kortlagte levesteder.</w:t>
      </w:r>
    </w:p>
    <w:p w:rsidR="00B11D94" w:rsidRDefault="00B11D94">
      <w:pPr>
        <w:rPr>
          <w:i/>
        </w:rPr>
      </w:pPr>
    </w:p>
    <w:p w:rsidR="00205630" w:rsidRDefault="00B11D94">
      <w:r>
        <w:t>Der er kortlagt 3</w:t>
      </w:r>
      <w:r w:rsidR="0044711D">
        <w:t>3</w:t>
      </w:r>
      <w:r>
        <w:t xml:space="preserve"> levesteder for Stor vandsalamander inden for Natura 2000-området. Det ses at 2/3 af de kortlagte vandhuller er i ugunstig bevaringstilstand.</w:t>
      </w:r>
      <w:r w:rsidR="009C2B85">
        <w:t xml:space="preserve"> </w:t>
      </w:r>
      <w:r w:rsidR="00CB3DC2">
        <w:t xml:space="preserve">De enkelte levesteders tilstand kan ses præsenteret på kort via Naturstyrelsens </w:t>
      </w:r>
      <w:hyperlink r:id="rId25" w:history="1">
        <w:r w:rsidR="00CB3DC2" w:rsidRPr="000F4D34">
          <w:rPr>
            <w:rStyle w:val="Hyperlink"/>
            <w:color w:val="auto"/>
          </w:rPr>
          <w:t>MiljøGis</w:t>
        </w:r>
      </w:hyperlink>
      <w:r w:rsidR="00CB3DC2">
        <w:t>.</w:t>
      </w:r>
    </w:p>
    <w:p w:rsidR="002A30B1" w:rsidRDefault="002A30B1"/>
    <w:p w:rsidR="0049225A" w:rsidRDefault="0049225A"/>
    <w:p w:rsidR="0049225A" w:rsidRDefault="0049225A"/>
    <w:p w:rsidR="00205630" w:rsidRDefault="0069361F">
      <w:r>
        <w:rPr>
          <w:noProof/>
        </w:rPr>
        <w:lastRenderedPageBreak/>
        <w:drawing>
          <wp:inline distT="0" distB="0" distL="0" distR="0" wp14:anchorId="3DC340F3" wp14:editId="069F7EBA">
            <wp:extent cx="4947167" cy="2695575"/>
            <wp:effectExtent l="19050" t="19050" r="6350" b="0"/>
            <wp:docPr id="4" name="Billede 4" descr="\\res.adroot.dk\dfs\setup\sslun\NFE2\VES\Fælles\Overvågning\Naturplaner\Natura 2000-plan forslag\Billeder til plan Stephan\Stor vandsalaman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adroot.dk\dfs\setup\sslun\NFE2\VES\Fælles\Overvågning\Naturplaner\Natura 2000-plan forslag\Billeder til plan Stephan\Stor vandsalamander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58573" cy="2701790"/>
                    </a:xfrm>
                    <a:prstGeom prst="rect">
                      <a:avLst/>
                    </a:prstGeom>
                    <a:noFill/>
                    <a:ln w="6350" cmpd="sng">
                      <a:solidFill>
                        <a:schemeClr val="tx1"/>
                      </a:solidFill>
                      <a:prstDash val="solid"/>
                    </a:ln>
                  </pic:spPr>
                </pic:pic>
              </a:graphicData>
            </a:graphic>
          </wp:inline>
        </w:drawing>
      </w:r>
    </w:p>
    <w:p w:rsidR="001C717F" w:rsidRPr="00776B0E" w:rsidRDefault="001C717F">
      <w:pPr>
        <w:rPr>
          <w:color w:val="31849B" w:themeColor="accent5" w:themeShade="BF"/>
          <w:sz w:val="15"/>
          <w:szCs w:val="15"/>
        </w:rPr>
      </w:pPr>
      <w:r w:rsidRPr="00776B0E">
        <w:rPr>
          <w:color w:val="31849B" w:themeColor="accent5" w:themeShade="BF"/>
          <w:sz w:val="15"/>
          <w:szCs w:val="15"/>
        </w:rPr>
        <w:t xml:space="preserve">Stor vandsalamander findes i Natura 2000-området. Foto: </w:t>
      </w:r>
      <w:r w:rsidR="0069361F" w:rsidRPr="00776B0E">
        <w:rPr>
          <w:color w:val="31849B" w:themeColor="accent5" w:themeShade="BF"/>
          <w:sz w:val="15"/>
          <w:szCs w:val="15"/>
        </w:rPr>
        <w:t>Stephan Skaarup Lund</w:t>
      </w:r>
    </w:p>
    <w:p w:rsidR="00205630" w:rsidRDefault="00B11D94">
      <w:pPr>
        <w:pStyle w:val="Overskrift1"/>
      </w:pPr>
      <w:bookmarkStart w:id="9" w:name="_Toc406095671"/>
      <w:r>
        <w:lastRenderedPageBreak/>
        <w:t>Målsætninger</w:t>
      </w:r>
      <w:bookmarkEnd w:id="9"/>
    </w:p>
    <w:p w:rsidR="00205630" w:rsidRDefault="00B11D94">
      <w:pPr>
        <w:spacing w:before="240" w:after="240"/>
      </w:pPr>
      <w:r>
        <w:t xml:space="preserve">Den </w:t>
      </w:r>
      <w:r>
        <w:rPr>
          <w:b/>
        </w:rPr>
        <w:t>overordnede målsætning</w:t>
      </w:r>
      <w:r>
        <w:t xml:space="preserve"> for området angiver det overordnede sigte for, hvordan området skal udvikle sig for såvel at sikre det konkrete områdes integritet som for at bidrage til opnåelse af gunstig bevaringsstatus for naturtyper og arter. Der er i den overordnede målsætning taget højde for områdets naturmæssige potentiale, og for om det rummer forekomster, der er </w:t>
      </w:r>
      <w:r w:rsidR="00B809C2">
        <w:t>a</w:t>
      </w:r>
      <w:r>
        <w:t>f stor vigtighed nationalt og/eller biogeografisk. En betydning, der er vurderet ud fra:</w:t>
      </w:r>
    </w:p>
    <w:p w:rsidR="00205630" w:rsidRDefault="00B11D94">
      <w:pPr>
        <w:spacing w:before="240" w:after="240"/>
      </w:pPr>
      <w:r>
        <w:t>-          Stort areal, levested eller bestand</w:t>
      </w:r>
      <w:r>
        <w:br/>
        <w:t>-          Få nationale/biogeografiske forekomster</w:t>
      </w:r>
      <w:r>
        <w:br/>
        <w:t>-          Truede naturtyper/arter</w:t>
      </w:r>
      <w:r>
        <w:br/>
        <w:t>-          Særligt danske ansvarsnaturtyper/arter.</w:t>
      </w:r>
    </w:p>
    <w:p w:rsidR="00205630" w:rsidRDefault="00B11D94">
      <w:pPr>
        <w:spacing w:before="240" w:after="240"/>
      </w:pPr>
      <w:r>
        <w:t xml:space="preserve">De </w:t>
      </w:r>
      <w:r>
        <w:rPr>
          <w:b/>
        </w:rPr>
        <w:t>konkrete målsætninger</w:t>
      </w:r>
      <w:r>
        <w:t xml:space="preserve"> fastlægger de langsigtede mål for udvikling i areal og tilstand for de enkelte naturtyper og arters levesteder. De konkrete mål tager udgangspunkt i den tilstand, som er vurderet for naturtyper og arters levesteder efter tilstandsvurderingssystemet. Hvor der ikke er udviklet et sådant system skal gunstig bevaringsstatus sikres eller genoprettes på baggrund af den bedst</w:t>
      </w:r>
      <w:r w:rsidR="00B809C2">
        <w:t>e</w:t>
      </w:r>
      <w:r>
        <w:t xml:space="preserve"> faglige viden.</w:t>
      </w:r>
    </w:p>
    <w:p w:rsidR="00205630" w:rsidRDefault="00B11D94">
      <w:pPr>
        <w:spacing w:before="240" w:after="240"/>
      </w:pPr>
      <w:r>
        <w:t>Målsætningerne rækker udover den enkelte planperiode og beskriver en tilstand, der tager hensyn til potentialet i de lokale naturforhold, og afspejler desuden en afvejning af eventuelt modstridende naturinteresser.</w:t>
      </w:r>
    </w:p>
    <w:p w:rsidR="00B809C2" w:rsidRDefault="00B809C2" w:rsidP="00B809C2">
      <w:pPr>
        <w:rPr>
          <w:szCs w:val="18"/>
        </w:rPr>
      </w:pPr>
      <w:r>
        <w:rPr>
          <w:szCs w:val="18"/>
        </w:rPr>
        <w:t>Myndighederne tager i deres administration af lovgivningen og deres forvaltning udgangspunkt i målsætningen for Natura 2000-område og sikrer dermed en grundlæggende beskyttelse af udpegningsgrundlaget.</w:t>
      </w:r>
    </w:p>
    <w:p w:rsidR="00B809C2" w:rsidRDefault="00B809C2" w:rsidP="00B809C2">
      <w:pPr>
        <w:spacing w:before="240" w:after="240"/>
      </w:pPr>
      <w:r>
        <w:rPr>
          <w:szCs w:val="18"/>
        </w:rPr>
        <w:t>Målsætningen for området er således grundlaget for vurderingen af planer og projekter, som skal foretages i henhold til de regler, der gennemfører habitatdirektivets artikel 6, stk. 3, bl.a. efter habitatbekendtgørelsen og naturbeskyttelseslovens § 19 b og skovlovens § 17, der skal sikre, at udpegningsgrundlaget i området ikke skades, herunder især at arealet af naturtyper og levesteder for arter er stabilt eller i udbredelse, at naturtypernes strukturer og funktioner fortsat er til stede, og at bestande af arterne viser, at arten på lang sigt vil kunne opretholde sig selv som en levedygtig bestanddel af dens naturlige levesteder</w:t>
      </w:r>
    </w:p>
    <w:p w:rsidR="00205630" w:rsidRDefault="00205630"/>
    <w:p w:rsidR="00205630" w:rsidRDefault="00B11D94">
      <w:pPr>
        <w:pStyle w:val="Overskrift2"/>
      </w:pPr>
      <w:bookmarkStart w:id="10" w:name="_Toc406095672"/>
      <w:r>
        <w:t>Overordnet målsætning for Natura 2000-området</w:t>
      </w:r>
      <w:bookmarkEnd w:id="10"/>
    </w:p>
    <w:p w:rsidR="006A39E4" w:rsidRDefault="006A39E4" w:rsidP="006A39E4"/>
    <w:p w:rsidR="00D579C3" w:rsidRPr="00D579C3" w:rsidRDefault="00D579C3" w:rsidP="00D579C3">
      <w:pPr>
        <w:pStyle w:val="NormalWeb"/>
        <w:rPr>
          <w:rFonts w:ascii="Georgia" w:hAnsi="Georgia"/>
          <w:color w:val="auto"/>
          <w:sz w:val="18"/>
          <w:szCs w:val="18"/>
        </w:rPr>
      </w:pPr>
      <w:r w:rsidRPr="00D579C3">
        <w:rPr>
          <w:rFonts w:ascii="Georgia" w:hAnsi="Georgia"/>
          <w:color w:val="auto"/>
          <w:sz w:val="18"/>
          <w:szCs w:val="18"/>
        </w:rPr>
        <w:t>Det overordnede mål for området er:</w:t>
      </w:r>
    </w:p>
    <w:p w:rsidR="00D579C3" w:rsidRDefault="00B11D94">
      <w:pPr>
        <w:spacing w:before="240" w:after="240"/>
      </w:pPr>
      <w:r>
        <w:t>Områdets vandløbsnatur sikres et sammenhængende areal med gunstig naturtilstand, stor grad af naturlig dynamik og gunstige fysiske forhold. Vandløbsnaturen opnår at udgøre velegnede levesteder for vandløbets dyreliv</w:t>
      </w:r>
      <w:r w:rsidR="00257A0D">
        <w:t>.</w:t>
      </w:r>
      <w:r>
        <w:t xml:space="preserve"> </w:t>
      </w:r>
    </w:p>
    <w:p w:rsidR="00D579C3" w:rsidRDefault="00B11D94">
      <w:pPr>
        <w:spacing w:before="240" w:after="240"/>
      </w:pPr>
      <w:r>
        <w:t xml:space="preserve">Småsøerne, der indgår i området opnår gunstig bevaringstilstand. Dette forudsætter en god vandkvalitet. </w:t>
      </w:r>
    </w:p>
    <w:p w:rsidR="00F60254" w:rsidRDefault="00E101DD">
      <w:pPr>
        <w:spacing w:before="240" w:after="240"/>
        <w:rPr>
          <w:szCs w:val="18"/>
        </w:rPr>
      </w:pPr>
      <w:r>
        <w:lastRenderedPageBreak/>
        <w:t>Levesteder for den nationale ansvarsart damflagermus sikres en god-høj naturtilstand.</w:t>
      </w:r>
      <w:r w:rsidR="008F4BD6">
        <w:t xml:space="preserve"> </w:t>
      </w:r>
      <w:r w:rsidR="00B11D94" w:rsidRPr="00F60254">
        <w:rPr>
          <w:szCs w:val="18"/>
        </w:rPr>
        <w:t>Skov</w:t>
      </w:r>
      <w:r w:rsidR="008F4BD6">
        <w:rPr>
          <w:szCs w:val="18"/>
        </w:rPr>
        <w:t>-</w:t>
      </w:r>
      <w:r w:rsidR="00B11D94" w:rsidRPr="00F60254">
        <w:rPr>
          <w:szCs w:val="18"/>
        </w:rPr>
        <w:t xml:space="preserve"> naturen sikres god-høj naturtilstand og kontinuitet, og de lysåbne</w:t>
      </w:r>
      <w:r w:rsidR="00257A0D">
        <w:rPr>
          <w:szCs w:val="18"/>
        </w:rPr>
        <w:t>, truede</w:t>
      </w:r>
      <w:r w:rsidR="00B11D94" w:rsidRPr="00F60254">
        <w:rPr>
          <w:szCs w:val="18"/>
        </w:rPr>
        <w:t xml:space="preserve"> naturtyper, </w:t>
      </w:r>
      <w:r w:rsidR="00D579C3" w:rsidRPr="00F60254">
        <w:rPr>
          <w:szCs w:val="18"/>
        </w:rPr>
        <w:t xml:space="preserve">tørre heder, våde </w:t>
      </w:r>
      <w:r w:rsidR="00B11D94" w:rsidRPr="00F60254">
        <w:rPr>
          <w:szCs w:val="18"/>
        </w:rPr>
        <w:t xml:space="preserve">heder, </w:t>
      </w:r>
      <w:r w:rsidR="00D579C3" w:rsidRPr="00F60254">
        <w:rPr>
          <w:szCs w:val="18"/>
        </w:rPr>
        <w:t xml:space="preserve">sure </w:t>
      </w:r>
      <w:r w:rsidR="00B11D94" w:rsidRPr="00F60254">
        <w:rPr>
          <w:szCs w:val="18"/>
        </w:rPr>
        <w:t>overdrev og rigkær, der er knyttet til ådal</w:t>
      </w:r>
      <w:r w:rsidR="008F4BD6">
        <w:rPr>
          <w:szCs w:val="18"/>
        </w:rPr>
        <w:t>s</w:t>
      </w:r>
      <w:r w:rsidR="00DB08BE">
        <w:rPr>
          <w:szCs w:val="18"/>
        </w:rPr>
        <w:t>-</w:t>
      </w:r>
      <w:r w:rsidR="008F4BD6">
        <w:rPr>
          <w:szCs w:val="18"/>
        </w:rPr>
        <w:t>landskabet</w:t>
      </w:r>
      <w:r w:rsidR="00F60254">
        <w:rPr>
          <w:szCs w:val="18"/>
        </w:rPr>
        <w:t>,</w:t>
      </w:r>
      <w:r w:rsidR="00F60254" w:rsidRPr="00F60254">
        <w:rPr>
          <w:szCs w:val="18"/>
        </w:rPr>
        <w:t xml:space="preserve"> opnår en god-høj naturtilstand samt kontinuitet og sammenhæng</w:t>
      </w:r>
      <w:r w:rsidR="00B11D94" w:rsidRPr="00F60254">
        <w:rPr>
          <w:szCs w:val="18"/>
        </w:rPr>
        <w:t>.</w:t>
      </w:r>
    </w:p>
    <w:p w:rsidR="00B809C2" w:rsidRPr="00F60254" w:rsidRDefault="00B809C2">
      <w:pPr>
        <w:spacing w:before="240" w:after="240"/>
        <w:rPr>
          <w:szCs w:val="18"/>
        </w:rPr>
      </w:pPr>
    </w:p>
    <w:p w:rsidR="00205630" w:rsidRDefault="00B11D94">
      <w:pPr>
        <w:pStyle w:val="Overskrift2"/>
      </w:pPr>
      <w:bookmarkStart w:id="11" w:name="_Toc406095673"/>
      <w:r>
        <w:t>Konkrete målsætninger for naturtyper og arter</w:t>
      </w:r>
      <w:bookmarkEnd w:id="11"/>
    </w:p>
    <w:p w:rsidR="00205630" w:rsidRDefault="00B11D94">
      <w:pPr>
        <w:spacing w:before="240" w:after="240"/>
      </w:pPr>
      <w:r>
        <w:t>Naturtyper og arter skal på sigt opnå en gunstig bevaringsstatus.</w:t>
      </w:r>
    </w:p>
    <w:p w:rsidR="00205630" w:rsidRDefault="00B11D94">
      <w:pPr>
        <w:numPr>
          <w:ilvl w:val="0"/>
          <w:numId w:val="28"/>
        </w:numPr>
      </w:pPr>
      <w:r>
        <w:t>For naturtyper og for arters levesteder, der er vurderet til natur/skovtilstandsklasse I eller II er målsætningen, at udviklingen i deres areal og tilstand er stabil eller i fremgang.</w:t>
      </w:r>
    </w:p>
    <w:p w:rsidR="00205630" w:rsidRDefault="00B11D94">
      <w:pPr>
        <w:numPr>
          <w:ilvl w:val="0"/>
          <w:numId w:val="28"/>
        </w:numPr>
      </w:pPr>
      <w:r>
        <w:t>For naturtyper og arters levesteder, der er vurderet til natur/skovtilstandsklasse III-V er målsætningen, at udviklingen i deres natur/skovtilstand er i fremgang, således at der på sigt opnås natur/skovtilstand I-II og gunstig bevaringsstatus, såfremt de naturgivne forhold giver mulighed for det.</w:t>
      </w:r>
    </w:p>
    <w:p w:rsidR="00205630" w:rsidRPr="00E101DD" w:rsidRDefault="00B11D94" w:rsidP="00776B0E">
      <w:pPr>
        <w:numPr>
          <w:ilvl w:val="0"/>
          <w:numId w:val="28"/>
        </w:numPr>
        <w:ind w:left="714" w:hanging="357"/>
        <w:rPr>
          <w:szCs w:val="18"/>
        </w:rPr>
      </w:pPr>
      <w:r>
        <w:t xml:space="preserve">Det samlede areal af naturtypen/levestedet skal være stabilt eller i fremgang, hvis </w:t>
      </w:r>
      <w:r w:rsidRPr="00E101DD">
        <w:rPr>
          <w:szCs w:val="18"/>
        </w:rPr>
        <w:t>naturforholdene tillader det.</w:t>
      </w:r>
    </w:p>
    <w:p w:rsidR="00205630" w:rsidRPr="00B809C2" w:rsidRDefault="00B11D94" w:rsidP="00776B0E">
      <w:pPr>
        <w:pStyle w:val="Listeafsnit"/>
        <w:numPr>
          <w:ilvl w:val="0"/>
          <w:numId w:val="28"/>
        </w:numPr>
        <w:spacing w:line="260" w:lineRule="atLeast"/>
        <w:ind w:left="714" w:hanging="357"/>
        <w:rPr>
          <w:szCs w:val="18"/>
        </w:rPr>
      </w:pPr>
      <w:r w:rsidRPr="00776B0E">
        <w:rPr>
          <w:rFonts w:ascii="Georgia" w:hAnsi="Georgia"/>
          <w:sz w:val="18"/>
          <w:szCs w:val="18"/>
        </w:rPr>
        <w:t>For naturtyper og arter uden tilstandsvurderingssystem er målsætningen gunstig bevaringsstatus. Det betyder, at tilstanden og det samlede areal af levestederne for arterne stabiliseres eller øges, således at der er grundlag for tilstrækkelige egnede yngle- og fourageringsområder for arterne.</w:t>
      </w:r>
    </w:p>
    <w:p w:rsidR="00B809C2" w:rsidRPr="00776B0E" w:rsidRDefault="00B809C2" w:rsidP="00B809C2">
      <w:pPr>
        <w:pStyle w:val="Listeafsnit"/>
        <w:spacing w:line="260" w:lineRule="atLeast"/>
        <w:ind w:left="714"/>
        <w:rPr>
          <w:szCs w:val="18"/>
        </w:rPr>
      </w:pPr>
    </w:p>
    <w:p w:rsidR="00205630" w:rsidRDefault="00B11D94">
      <w:pPr>
        <w:pStyle w:val="Overskrift2"/>
      </w:pPr>
      <w:bookmarkStart w:id="12" w:name="_Toc406095674"/>
      <w:r>
        <w:t>Modstridende naturinteresser</w:t>
      </w:r>
      <w:bookmarkEnd w:id="12"/>
    </w:p>
    <w:p w:rsidR="00E101DD" w:rsidRDefault="00B11D94">
      <w:pPr>
        <w:spacing w:before="240" w:after="240"/>
      </w:pPr>
      <w:r>
        <w:t xml:space="preserve">En målsætning om gunstig bevaringsstatus for en bestemt naturtype kan indebære en nedprioritering af en anden naturtype eller art, og det er nødvendigt at foretage et valg. Blandt de naturtyper, der danner udpegningsgrundlag for Natura 2000-området, er naturtyperne surt overdrev og kildevæld samt skovbevokset tørvemose og elle- og askeskov prioriterede i habitatdirektivet, og de skal derfor tilgodeses ved modstridende interesser med andre naturtyper og arter. Af de naturtyper, der findes inden for området har rigkær, våd hede, tør hede og surt overdrev på nationalt og regionalt niveau haft stor tilbagegang, naturtypernes bevaringsstatus vurderes at være ugunstig, og de er opført som truede naturtyper. Der skal derfor gøres en indsats for at øge arealerne af de fire naturtyper. </w:t>
      </w:r>
    </w:p>
    <w:p w:rsidR="00E101DD" w:rsidRDefault="00B11D94">
      <w:pPr>
        <w:spacing w:before="240" w:after="240"/>
      </w:pPr>
      <w:r>
        <w:t>I flere af de områder, hvor naturtyperne rigkær og våd hede kan udvides, har der nu etableret sig skovbevokset tørvemose eller elle- og askeskov. Øgning af arealet med rigkær og våd hede kan derfor måske betyde en indskrænkning af arealet med habitatnaturtyperne skovbevokset tørvemose og elle- og askeskov. Eventuel rydning af de prioriterede skovnaturtyper skovbevokset tørvemose og elle- og askeskov samt hævning af vandstand til genskabelse af rigkær og våd hede er arealmæssigt meget begrænset og kan ske under forudsætning af, at arealet af de to skovnaturtyper opretholdes på nationalt biogeografisk niveau. Gamle og/eller veludviklede forekomster af elle- og askeskov og skovbevokset tørvemose skal som hovedregel bevares.</w:t>
      </w:r>
    </w:p>
    <w:p w:rsidR="00E101DD" w:rsidRDefault="00B11D94">
      <w:pPr>
        <w:spacing w:before="240" w:after="240"/>
      </w:pPr>
      <w:r>
        <w:t xml:space="preserve">Naturtypen tør hede er gået væsentligt tilbage på grund af næringsberigelse og tilgroning. Naturtypen ønskes derfor udvidet ved genskabelse af lysåbne forhold, hvor det er naturmæssigt hensigtsmæssigt. I nogle af de områder, hvor naturtypen kan udvides, er der nu ved naturlig tilgroning etableret egekrat i mosaik med tilbageværende hedevegetation. Ved afgræsning af disse områder kan lysåben tør hede og egekrat forvaltes som et naturmæssigt hele med flydende grænser mellem naturtyperne, og således at gamle og veludviklede forekomster af egekrat bevares. Egekrattet må ikke brede sig arealmæssigt på bekostning af den tørre hede. De egekrat, der indtil nu </w:t>
      </w:r>
      <w:r>
        <w:lastRenderedPageBreak/>
        <w:t xml:space="preserve">er registreret i området, er domineret af vintereg, og er derfor ikke omfattet af Natura 2000-planlægningen. </w:t>
      </w:r>
    </w:p>
    <w:p w:rsidR="00B809C2" w:rsidRDefault="00B11D94">
      <w:pPr>
        <w:spacing w:before="240" w:after="240"/>
      </w:pPr>
      <w:r>
        <w:t xml:space="preserve">I Gudenådalens og Gjernådalens nedre del vil et muligt ophør/ reduktion af vandløbsvedligeholdelse af hensyn til naturtypen vandløb og til mere fri dynamik kunne give anledning til, at vandstanden i hele ådalen vil stige. En række naturområder i Natura 2000 området vil dermed kunne blive oversvømmet i sommerhalvåret. Det vurderes, at dette kun i ringe omfang vil have betydning for forekomsten af enkelte, små rigkærsarealer. I dette område prioriteres hensynet til vandløbsnaturen. </w:t>
      </w:r>
    </w:p>
    <w:p w:rsidR="00205630" w:rsidRDefault="00B11D94">
      <w:pPr>
        <w:spacing w:before="240" w:after="240"/>
      </w:pPr>
      <w:r>
        <w:t>Det vurderes, at der ikke i øvrigt er modstridende Natura 2000-naturinteresser i realiseringen af denne Natura 2000-plan. </w:t>
      </w:r>
    </w:p>
    <w:p w:rsidR="00205630" w:rsidRDefault="00B11D94">
      <w:pPr>
        <w:pStyle w:val="Overskrift1"/>
      </w:pPr>
      <w:bookmarkStart w:id="13" w:name="_Toc406095675"/>
      <w:r>
        <w:lastRenderedPageBreak/>
        <w:t>Indsatsprogram</w:t>
      </w:r>
      <w:bookmarkEnd w:id="13"/>
    </w:p>
    <w:p w:rsidR="00205630" w:rsidRDefault="00B11D94">
      <w:pPr>
        <w:spacing w:before="240" w:after="240"/>
      </w:pPr>
      <w:r>
        <w:t>Opfyldelsen af habitat- og fuglebeskyttelsesdirektivernes krav om gunstig bevaringsstatus for de naturtyper og arter, som direktiverne omfatter, er en opgave, som strækker sig over flere planperioder. Det er derfor nødvendigt at prioritere indsatsen i den enkelte planperiode, således at det sikres, at Danmark efterlever de EU-retlige forpligtelser, og der kan etableres en sammenhæng mellem indsats og tilgængelige virkemidler. </w:t>
      </w:r>
    </w:p>
    <w:p w:rsidR="00205630" w:rsidRDefault="00B11D94">
      <w:pPr>
        <w:spacing w:before="240" w:after="240"/>
      </w:pPr>
      <w:r>
        <w:t>Den nationale prioritering af indsatsen i 2. planperiode sigter på, at den planlagte og igangsatte indsats i 1. planperiode fastholdes</w:t>
      </w:r>
      <w:r w:rsidR="002B52F9">
        <w:t xml:space="preserve"> og afsluttes</w:t>
      </w:r>
      <w:bookmarkStart w:id="14" w:name="_GoBack"/>
      <w:bookmarkEnd w:id="14"/>
      <w:r>
        <w:t>, og der tages hånd om særligt truede naturtyper og arter, samt at der påbegyndes en strategisk indsats for langsigtet at sikre den nødvendige pleje af de lysåbne naturarealer. </w:t>
      </w:r>
    </w:p>
    <w:p w:rsidR="00B809C2" w:rsidRDefault="00B809C2">
      <w:pPr>
        <w:spacing w:before="240" w:after="240"/>
      </w:pPr>
      <w:r w:rsidRPr="004D3027">
        <w:t>Indsatsen fra de gældende planer 2010-15 videreføres. Hvis den forudsatte indsats for planperioden 2010-15 ikke er gennemført, når de kommunale handleplaner for 2. planperiode træder i kraft, forudsættes det</w:t>
      </w:r>
      <w:r>
        <w:t xml:space="preserve">, at den allerede igangsatte indsats færdiggøres </w:t>
      </w:r>
      <w:r w:rsidRPr="004D3027">
        <w:t xml:space="preserve">i 2. planperiode, med mindre den udestående indsats vil være i strid med nærværende plan. </w:t>
      </w:r>
    </w:p>
    <w:p w:rsidR="00205630" w:rsidRDefault="00B11D94">
      <w:pPr>
        <w:spacing w:before="240" w:after="240"/>
      </w:pPr>
      <w:r>
        <w:t>Nedenstående retningslinjer for indsatsen er opbygget efter mål- og rammestyringsprincippet, således at den statslige plan fastlægger de krav til indsatsen i planperioden, der er nødvendige for at sikre nationalt besluttede prioriteringer. </w:t>
      </w:r>
    </w:p>
    <w:p w:rsidR="00205630" w:rsidRDefault="00B11D94">
      <w:pPr>
        <w:spacing w:before="240" w:after="240"/>
      </w:pPr>
      <w:r>
        <w:t>Indsats til bedring af vandkvaliteten i overflade- og grundvand gennemføres som led i vandplanlægningen, ligesom reduktion af kvælstofdeposition sker gennem husdyrgodkendelsesloven og generelle tiltag til at mindske luftforureningen, og er således ikke en del af Natura 2000-planens indsatsprogram. </w:t>
      </w:r>
    </w:p>
    <w:p w:rsidR="00205630" w:rsidRDefault="00B11D94">
      <w:pPr>
        <w:spacing w:before="240" w:after="240"/>
      </w:pPr>
      <w:r>
        <w:t>Retningslinjerne er opdelt i generelle retningslinjer, der gælder for alle områder og specifikke retningslinjer for det enkelte Natura 2000-område. Til gennemførsel af planerne stiller staten en række virkemidler til rådighed, ligesom det forudsættes, at kommunerne i mindre omfang bidrager økonomisk. </w:t>
      </w:r>
    </w:p>
    <w:p w:rsidR="00205630" w:rsidRDefault="00B11D94">
      <w:pPr>
        <w:spacing w:before="240" w:after="240"/>
      </w:pPr>
      <w:r>
        <w:t>Områdets fredskovpligtige skovnaturtyper er omfattet af retningslinjer i Natura 2000-planen 2010-15 og videreføres i denne plan.</w:t>
      </w:r>
    </w:p>
    <w:p w:rsidR="00205630" w:rsidRDefault="00B11D94">
      <w:r>
        <w:t> </w:t>
      </w:r>
    </w:p>
    <w:p w:rsidR="00205630" w:rsidRDefault="00B11D94">
      <w:pPr>
        <w:spacing w:before="240" w:after="240"/>
      </w:pPr>
      <w:r>
        <w:rPr>
          <w:b/>
          <w:i/>
        </w:rPr>
        <w:t>Generelle retningslinjer</w:t>
      </w:r>
    </w:p>
    <w:p w:rsidR="00205630" w:rsidRDefault="00B11D94">
      <w:pPr>
        <w:numPr>
          <w:ilvl w:val="0"/>
          <w:numId w:val="29"/>
        </w:numPr>
      </w:pPr>
      <w:r>
        <w:t>Myndighederne tager i deres administration af lovgivningen og deres forvaltning udgangspunkt i målsætningen for det enkelte Natura 2000-område og sikrer dermed en grundlæggende beskyttelse af udpegningsgrundlaget.</w:t>
      </w:r>
    </w:p>
    <w:p w:rsidR="00205630" w:rsidRDefault="00B11D94">
      <w:pPr>
        <w:numPr>
          <w:ilvl w:val="0"/>
          <w:numId w:val="29"/>
        </w:numPr>
      </w:pPr>
      <w:r>
        <w:t>Der arbejdes for at sikre de lysåbne terrestriske naturtyper en hensigtsmæssig hydrologi, drift og pleje.</w:t>
      </w:r>
    </w:p>
    <w:p w:rsidR="00205630" w:rsidRDefault="00B11D94">
      <w:pPr>
        <w:numPr>
          <w:ilvl w:val="0"/>
          <w:numId w:val="29"/>
        </w:numPr>
      </w:pPr>
      <w:r>
        <w:t>Der arbejdes for at sikre egnede levesteder for områdets arter.</w:t>
      </w:r>
    </w:p>
    <w:p w:rsidR="00205630" w:rsidRDefault="00B11D94">
      <w:pPr>
        <w:numPr>
          <w:ilvl w:val="0"/>
          <w:numId w:val="29"/>
        </w:numPr>
      </w:pPr>
      <w:r>
        <w:t>Der arbejdes på at opnå størst mulig naturmæssig robusthed og sammenhæng i områdets natur ved at sikre større driftsenheder af lysåbne naturtyper.</w:t>
      </w:r>
    </w:p>
    <w:p w:rsidR="00205630" w:rsidRDefault="00B11D94">
      <w:pPr>
        <w:numPr>
          <w:ilvl w:val="0"/>
          <w:numId w:val="29"/>
        </w:numPr>
      </w:pPr>
      <w:r>
        <w:lastRenderedPageBreak/>
        <w:t>Hydrologiprojekter finansieret via landdistriktsprogrammet, igangsatte Life-projekter og udvidelse/sikring af levesteder fra Natura 2000-planen 2010-15 afsluttes.</w:t>
      </w:r>
    </w:p>
    <w:p w:rsidR="00205630" w:rsidRDefault="00B11D94">
      <w:pPr>
        <w:numPr>
          <w:ilvl w:val="0"/>
          <w:numId w:val="29"/>
        </w:numPr>
      </w:pPr>
      <w:r>
        <w:t>For skovnaturtyper skal sikres en skovnaturtypebevarende drift og pleje. I særlige tilfælde kan permanent ophør af drift (urørt skov) være nødvendig for at opfylde direktivforpligtelsen.</w:t>
      </w:r>
    </w:p>
    <w:p w:rsidR="00205630" w:rsidRDefault="00B11D94" w:rsidP="0067444E">
      <w:pPr>
        <w:numPr>
          <w:ilvl w:val="0"/>
          <w:numId w:val="29"/>
        </w:numPr>
        <w:spacing w:line="276" w:lineRule="auto"/>
      </w:pPr>
      <w:r>
        <w:t>Indsatser gennemført i 1. planperiode vedligeholdes, f.eks. ved genrydning af arealer, hvor der tidligere har været gennemført en Natura 2000-indsats.</w:t>
      </w:r>
    </w:p>
    <w:p w:rsidR="00205630" w:rsidRDefault="00B11D94" w:rsidP="00E101DD">
      <w:pPr>
        <w:spacing w:before="240" w:after="240"/>
      </w:pPr>
      <w:r>
        <w:t> </w:t>
      </w:r>
    </w:p>
    <w:p w:rsidR="0067444E" w:rsidRPr="0067444E" w:rsidRDefault="00B11D94" w:rsidP="0067444E">
      <w:pPr>
        <w:spacing w:before="240" w:after="240"/>
      </w:pPr>
      <w:r>
        <w:rPr>
          <w:b/>
          <w:i/>
        </w:rPr>
        <w:t>Område specifikke retningslinjer</w:t>
      </w:r>
    </w:p>
    <w:p w:rsidR="0067444E" w:rsidRPr="0067444E" w:rsidRDefault="0067444E" w:rsidP="0067444E">
      <w:pPr>
        <w:pStyle w:val="Listeafsnit"/>
        <w:numPr>
          <w:ilvl w:val="0"/>
          <w:numId w:val="35"/>
        </w:numPr>
        <w:rPr>
          <w:rFonts w:ascii="Georgia" w:hAnsi="Georgia"/>
          <w:sz w:val="18"/>
          <w:szCs w:val="18"/>
        </w:rPr>
      </w:pPr>
      <w:r w:rsidRPr="0067444E">
        <w:rPr>
          <w:rFonts w:ascii="Georgia" w:hAnsi="Georgia"/>
          <w:sz w:val="18"/>
          <w:szCs w:val="18"/>
        </w:rPr>
        <w:t>Der gennemføres en grundlæggende indsats på hedearealer med henblik på forbedring af naturtilstanden ved enten efter</w:t>
      </w:r>
      <w:r>
        <w:rPr>
          <w:rFonts w:ascii="Georgia" w:hAnsi="Georgia"/>
          <w:sz w:val="18"/>
          <w:szCs w:val="18"/>
        </w:rPr>
        <w:t xml:space="preserve">følgende pleje eller periodevis </w:t>
      </w:r>
      <w:r w:rsidRPr="0067444E">
        <w:rPr>
          <w:rFonts w:ascii="Georgia" w:hAnsi="Georgia"/>
          <w:sz w:val="18"/>
          <w:szCs w:val="18"/>
        </w:rPr>
        <w:t>rydning/skrælning/afbrænding.</w:t>
      </w:r>
    </w:p>
    <w:p w:rsidR="00205630" w:rsidRDefault="00B11D94">
      <w:pPr>
        <w:spacing w:before="240" w:after="240"/>
      </w:pPr>
      <w:r>
        <w:t>Det er en fælles opgave for kommuner og offentlige lodsejere at aftale nærmere på hvilke arealer og i hvilke kommuner, den konkrete indsats skal foregå.</w:t>
      </w:r>
    </w:p>
    <w:p w:rsidR="00205630" w:rsidRDefault="00B11D94">
      <w:pPr>
        <w:spacing w:before="240" w:after="240"/>
      </w:pPr>
      <w:r>
        <w:t> </w:t>
      </w:r>
    </w:p>
    <w:p w:rsidR="00205630" w:rsidRDefault="00B11D94">
      <w:pPr>
        <w:spacing w:before="240" w:after="240"/>
      </w:pPr>
      <w:r>
        <w:t> </w:t>
      </w:r>
    </w:p>
    <w:p w:rsidR="00205630" w:rsidRDefault="00B11D94">
      <w:r>
        <w:t> </w:t>
      </w:r>
    </w:p>
    <w:p w:rsidR="00776B0E" w:rsidRDefault="00776B0E">
      <w:pPr>
        <w:spacing w:line="240" w:lineRule="auto"/>
      </w:pPr>
      <w:r>
        <w:br w:type="page"/>
      </w:r>
    </w:p>
    <w:p w:rsidR="00205630" w:rsidRDefault="00205630">
      <w:pPr>
        <w:spacing w:line="240" w:lineRule="auto"/>
      </w:pPr>
    </w:p>
    <w:p w:rsidR="00205630" w:rsidRDefault="00205630"/>
    <w:p w:rsidR="00205630" w:rsidRDefault="00205630">
      <w:pPr>
        <w:sectPr w:rsidR="00205630">
          <w:headerReference w:type="even" r:id="rId27"/>
          <w:headerReference w:type="default" r:id="rId28"/>
          <w:footerReference w:type="even" r:id="rId29"/>
          <w:footerReference w:type="default" r:id="rId30"/>
          <w:headerReference w:type="first" r:id="rId31"/>
          <w:footerReference w:type="first" r:id="rId32"/>
          <w:endnotePr>
            <w:numFmt w:val="decimal"/>
          </w:endnotePr>
          <w:pgSz w:w="11907" w:h="16840"/>
          <w:pgMar w:top="1247" w:right="2835" w:bottom="1644" w:left="1134" w:header="567" w:footer="550" w:gutter="0"/>
          <w:cols w:space="227"/>
          <w:titlePg/>
        </w:sectPr>
      </w:pPr>
    </w:p>
    <w:p w:rsidR="00205630" w:rsidRDefault="006B5E96">
      <w:pPr>
        <w:spacing w:line="240" w:lineRule="auto"/>
      </w:pPr>
      <w:r>
        <w:rPr>
          <w:noProof/>
        </w:rPr>
        <w:lastRenderedPageBreak/>
        <w:drawing>
          <wp:anchor distT="0" distB="0" distL="114300" distR="114300" simplePos="0" relativeHeight="251659264" behindDoc="0" locked="0" layoutInCell="0" allowOverlap="0" wp14:anchorId="35064D41" wp14:editId="4DCE82BD">
            <wp:simplePos x="0" y="0"/>
            <wp:positionH relativeFrom="page">
              <wp:posOffset>0</wp:posOffset>
            </wp:positionH>
            <wp:positionV relativeFrom="page">
              <wp:posOffset>3175</wp:posOffset>
            </wp:positionV>
            <wp:extent cx="7553325" cy="10679430"/>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553325" cy="10679430"/>
                    </a:xfrm>
                    <a:prstGeom prst="rect">
                      <a:avLst/>
                    </a:prstGeom>
                  </pic:spPr>
                </pic:pic>
              </a:graphicData>
            </a:graphic>
            <wp14:sizeRelV relativeFrom="margin">
              <wp14:pctHeight>0</wp14:pctHeight>
            </wp14:sizeRelV>
          </wp:anchor>
        </w:drawing>
      </w:r>
    </w:p>
    <w:p w:rsidR="00205630" w:rsidRDefault="00205630">
      <w:pPr>
        <w:spacing w:line="240" w:lineRule="auto"/>
      </w:pPr>
    </w:p>
    <w:sectPr w:rsidR="00205630">
      <w:footerReference w:type="default" r:id="rId34"/>
      <w:footerReference w:type="first" r:id="rId35"/>
      <w:endnotePr>
        <w:numFmt w:val="decimal"/>
      </w:endnotePr>
      <w:type w:val="evenPage"/>
      <w:pgSz w:w="11907" w:h="16840"/>
      <w:pgMar w:top="1247" w:right="2835" w:bottom="1644" w:left="1134" w:header="567" w:footer="567" w:gutter="0"/>
      <w:cols w:space="22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40C7" w:rsidRDefault="00B240C7">
      <w:pPr>
        <w:spacing w:line="240" w:lineRule="auto"/>
      </w:pPr>
      <w:r>
        <w:separator/>
      </w:r>
    </w:p>
  </w:endnote>
  <w:endnote w:type="continuationSeparator" w:id="0">
    <w:p w:rsidR="00B240C7" w:rsidRDefault="00B240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630" w:rsidRDefault="00B11D94">
    <w:pPr>
      <w:pStyle w:val="Sidefod"/>
    </w:pPr>
    <w:r>
      <w:fldChar w:fldCharType="begin"/>
    </w:r>
    <w:r>
      <w:instrText>PAGE \* MERGEFORMAT</w:instrText>
    </w:r>
    <w:r>
      <w:fldChar w:fldCharType="separate"/>
    </w:r>
    <w:r w:rsidR="002B52F9">
      <w:rPr>
        <w:noProof/>
      </w:rPr>
      <w:t>16</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630" w:rsidRDefault="00B11D94">
    <w:pPr>
      <w:pStyle w:val="Sidefod"/>
    </w:pPr>
    <w:r>
      <w:tab/>
    </w:r>
    <w:r>
      <w:tab/>
    </w:r>
    <w:r>
      <w:fldChar w:fldCharType="begin"/>
    </w:r>
    <w:r>
      <w:instrText>PAGE \* MERGEFORMAT</w:instrText>
    </w:r>
    <w:r>
      <w:fldChar w:fldCharType="separate"/>
    </w:r>
    <w:r w:rsidR="002B52F9">
      <w:rPr>
        <w:noProof/>
      </w:rPr>
      <w:t>17</w:t>
    </w:r>
    <w:r>
      <w:fldChar w:fldCharType="end"/>
    </w:r>
  </w:p>
  <w:p w:rsidR="00205630" w:rsidRDefault="00205630">
    <w:pPr>
      <w:pStyle w:val="Sidefo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56D" w:rsidRDefault="00B5156D">
    <w:pPr>
      <w:pStyle w:val="Sidefo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630" w:rsidRDefault="00205630"/>
  <w:p w:rsidR="00205630" w:rsidRDefault="00205630">
    <w:pPr>
      <w:spacing w:line="240" w:lineRule="auto"/>
      <w:rPr>
        <w:sz w:val="1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630" w:rsidRDefault="002B52F9">
    <w:r>
      <w:pict>
        <v:shape id="_x0000_i1032" style="width:126.35pt;height:47.55pt" coordsize="" o:spt="100" adj="0,,0" path="" stroked="f">
          <v:stroke joinstyle="miter"/>
          <v:imagedata r:id="rId1" o:title=""/>
          <v:formulas/>
          <v:path o:connecttype="segments"/>
        </v:shape>
      </w:pict>
    </w:r>
  </w:p>
  <w:p w:rsidR="00205630" w:rsidRDefault="00205630">
    <w:pPr>
      <w:spacing w:line="240" w:lineRule="auto"/>
      <w:rPr>
        <w:sz w:val="14"/>
      </w:rPr>
    </w:pPr>
  </w:p>
  <w:p w:rsidR="00205630" w:rsidRDefault="00B11D94">
    <w:pPr>
      <w:pStyle w:val="Template-Adresse"/>
      <w:ind w:left="854"/>
    </w:pPr>
    <w:r>
      <w:t xml:space="preserve">Strandgade 29 </w:t>
    </w:r>
  </w:p>
  <w:p w:rsidR="00205630" w:rsidRDefault="00B11D94">
    <w:pPr>
      <w:pStyle w:val="Template-Adresse"/>
      <w:ind w:left="854"/>
    </w:pPr>
    <w:r>
      <w:t xml:space="preserve">DK - 1401 København K </w:t>
    </w:r>
  </w:p>
  <w:p w:rsidR="00205630" w:rsidRDefault="00B11D94">
    <w:pPr>
      <w:pStyle w:val="Template-Adresse"/>
      <w:ind w:left="854"/>
    </w:pPr>
    <w:r>
      <w:t>Tlf.: (+45) 72 54 40 00</w:t>
    </w:r>
  </w:p>
  <w:p w:rsidR="00205630" w:rsidRDefault="00B11D94">
    <w:pPr>
      <w:pStyle w:val="Template-Adresse"/>
      <w:spacing w:before="120" w:line="240" w:lineRule="auto"/>
      <w:rPr>
        <w:b/>
      </w:rPr>
    </w:pPr>
    <w:r>
      <w:rPr>
        <w:b/>
      </w:rPr>
      <w:t>www.</w:t>
    </w:r>
    <w:r>
      <w:t xml:space="preserve"> </w:t>
    </w:r>
    <w:r>
      <w:rPr>
        <w:b/>
      </w:rPr>
      <w:t>mst.dk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40C7" w:rsidRDefault="00B240C7">
      <w:pPr>
        <w:spacing w:line="240" w:lineRule="auto"/>
      </w:pPr>
      <w:r>
        <w:separator/>
      </w:r>
    </w:p>
  </w:footnote>
  <w:footnote w:type="continuationSeparator" w:id="0">
    <w:p w:rsidR="00B240C7" w:rsidRDefault="00B240C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630" w:rsidRDefault="00B5156D">
    <w:pPr>
      <w:pStyle w:val="Sidehoved"/>
    </w:pPr>
    <w:r>
      <w:t>N</w:t>
    </w:r>
    <w:r w:rsidR="00B11D94">
      <w:t>atura 2000 plan 2016-21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630" w:rsidRDefault="00B11D94">
    <w:pPr>
      <w:pStyle w:val="Sidehoved"/>
      <w:jc w:val="right"/>
    </w:pPr>
    <w:r>
      <w:t>Natura 2000 plan 2016-21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56D" w:rsidRDefault="00B5156D">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77"/>
    <w:multiLevelType w:val="multilevel"/>
    <w:tmpl w:val="8A4E5C00"/>
    <w:lvl w:ilvl="0">
      <w:start w:val="1"/>
      <w:numFmt w:val="bullet"/>
      <w:lvlText w:val=""/>
      <w:lvlJc w:val="left"/>
      <w:pPr>
        <w:ind w:left="360" w:hanging="360"/>
      </w:pPr>
      <w:rPr>
        <w:rFonts w:ascii="Symbol" w:hAnsi="Symbol"/>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1">
    <w:nsid w:val="00000078"/>
    <w:multiLevelType w:val="multilevel"/>
    <w:tmpl w:val="D616AF22"/>
    <w:lvl w:ilvl="0">
      <w:start w:val="1"/>
      <w:numFmt w:val="decimal"/>
      <w:lvlText w:val="%1."/>
      <w:lvlJc w:val="left"/>
      <w:pPr>
        <w:ind w:left="360" w:hanging="36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2">
    <w:nsid w:val="0000007D"/>
    <w:multiLevelType w:val="multilevel"/>
    <w:tmpl w:val="3ED27C9A"/>
    <w:lvl w:ilvl="0">
      <w:start w:val="1"/>
      <w:numFmt w:val="bullet"/>
      <w:pStyle w:val="Opstilling-punkttegn2"/>
      <w:lvlText w:val=""/>
      <w:lvlJc w:val="left"/>
      <w:pPr>
        <w:ind w:left="643" w:hanging="360"/>
      </w:pPr>
      <w:rPr>
        <w:rFonts w:ascii="Symbol" w:hAnsi="Symbol"/>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3">
    <w:nsid w:val="0000007E"/>
    <w:multiLevelType w:val="multilevel"/>
    <w:tmpl w:val="ABD6D4CA"/>
    <w:lvl w:ilvl="0">
      <w:start w:val="1"/>
      <w:numFmt w:val="bullet"/>
      <w:pStyle w:val="Opstilling-punkttegn3"/>
      <w:lvlText w:val=""/>
      <w:lvlJc w:val="left"/>
      <w:pPr>
        <w:ind w:left="926" w:hanging="360"/>
      </w:pPr>
      <w:rPr>
        <w:rFonts w:ascii="Symbol" w:hAnsi="Symbol"/>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4">
    <w:nsid w:val="0000007F"/>
    <w:multiLevelType w:val="multilevel"/>
    <w:tmpl w:val="DE38ADBC"/>
    <w:lvl w:ilvl="0">
      <w:start w:val="1"/>
      <w:numFmt w:val="bullet"/>
      <w:pStyle w:val="Opstilling-punkttegn4"/>
      <w:lvlText w:val=""/>
      <w:lvlJc w:val="left"/>
      <w:pPr>
        <w:ind w:left="1209" w:hanging="360"/>
      </w:pPr>
      <w:rPr>
        <w:rFonts w:ascii="Symbol" w:hAnsi="Symbol"/>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5">
    <w:nsid w:val="00000080"/>
    <w:multiLevelType w:val="multilevel"/>
    <w:tmpl w:val="73CA90CA"/>
    <w:lvl w:ilvl="0">
      <w:start w:val="1"/>
      <w:numFmt w:val="bullet"/>
      <w:pStyle w:val="Opstilling-punkttegn5"/>
      <w:lvlText w:val=""/>
      <w:lvlJc w:val="left"/>
      <w:pPr>
        <w:ind w:left="1492" w:hanging="360"/>
      </w:pPr>
      <w:rPr>
        <w:rFonts w:ascii="Symbol" w:hAnsi="Symbol"/>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6">
    <w:nsid w:val="00000081"/>
    <w:multiLevelType w:val="multilevel"/>
    <w:tmpl w:val="345C2E84"/>
    <w:lvl w:ilvl="0">
      <w:start w:val="1"/>
      <w:numFmt w:val="decimal"/>
      <w:pStyle w:val="Opstilling-talellerbogst2"/>
      <w:lvlText w:val="%1."/>
      <w:lvlJc w:val="left"/>
      <w:pPr>
        <w:ind w:left="643" w:hanging="36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7">
    <w:nsid w:val="00000082"/>
    <w:multiLevelType w:val="multilevel"/>
    <w:tmpl w:val="E70A27E4"/>
    <w:lvl w:ilvl="0">
      <w:start w:val="1"/>
      <w:numFmt w:val="decimal"/>
      <w:pStyle w:val="Opstilling-talellerbogst3"/>
      <w:lvlText w:val="%1."/>
      <w:lvlJc w:val="left"/>
      <w:pPr>
        <w:ind w:left="926" w:hanging="36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8">
    <w:nsid w:val="00000083"/>
    <w:multiLevelType w:val="multilevel"/>
    <w:tmpl w:val="D6E0D88C"/>
    <w:lvl w:ilvl="0">
      <w:start w:val="1"/>
      <w:numFmt w:val="decimal"/>
      <w:pStyle w:val="Opstilling-talellerbogst4"/>
      <w:lvlText w:val="%1."/>
      <w:lvlJc w:val="left"/>
      <w:pPr>
        <w:ind w:left="1209" w:hanging="36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9">
    <w:nsid w:val="00000084"/>
    <w:multiLevelType w:val="multilevel"/>
    <w:tmpl w:val="0A78FCD2"/>
    <w:lvl w:ilvl="0">
      <w:start w:val="1"/>
      <w:numFmt w:val="decimal"/>
      <w:pStyle w:val="Opstilling-talellerbogst5"/>
      <w:lvlText w:val="%1."/>
      <w:lvlJc w:val="left"/>
      <w:pPr>
        <w:ind w:left="1492" w:hanging="36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10">
    <w:nsid w:val="08C661BE"/>
    <w:multiLevelType w:val="hybridMultilevel"/>
    <w:tmpl w:val="F0A20358"/>
    <w:lvl w:ilvl="0" w:tplc="8A6CF14A">
      <w:start w:val="1"/>
      <w:numFmt w:val="bullet"/>
      <w:lvlText w:val="·"/>
      <w:lvlJc w:val="left"/>
      <w:pPr>
        <w:ind w:left="720" w:hanging="360"/>
      </w:pPr>
      <w:rPr>
        <w:rFonts w:ascii="Symbol" w:hAnsi="Symbol"/>
      </w:rPr>
    </w:lvl>
    <w:lvl w:ilvl="1" w:tplc="607E262A">
      <w:start w:val="1"/>
      <w:numFmt w:val="bullet"/>
      <w:lvlText w:val="o"/>
      <w:lvlJc w:val="left"/>
      <w:pPr>
        <w:ind w:left="1440" w:hanging="360"/>
      </w:pPr>
      <w:rPr>
        <w:rFonts w:ascii="Symbol" w:hAnsi="Symbol"/>
      </w:rPr>
    </w:lvl>
    <w:lvl w:ilvl="2" w:tplc="87C27F72">
      <w:start w:val="1"/>
      <w:numFmt w:val="bullet"/>
      <w:lvlText w:val="·"/>
      <w:lvlJc w:val="left"/>
      <w:pPr>
        <w:ind w:left="2160" w:hanging="360"/>
      </w:pPr>
      <w:rPr>
        <w:rFonts w:ascii="Symbol" w:hAnsi="Symbol"/>
      </w:rPr>
    </w:lvl>
    <w:lvl w:ilvl="3" w:tplc="BE5C46F6">
      <w:start w:val="1"/>
      <w:numFmt w:val="bullet"/>
      <w:lvlText w:val="o"/>
      <w:lvlJc w:val="left"/>
      <w:pPr>
        <w:ind w:left="2880" w:hanging="360"/>
      </w:pPr>
      <w:rPr>
        <w:rFonts w:ascii="Symbol" w:hAnsi="Symbol"/>
      </w:rPr>
    </w:lvl>
    <w:lvl w:ilvl="4" w:tplc="AF025AFE">
      <w:start w:val="1"/>
      <w:numFmt w:val="bullet"/>
      <w:lvlText w:val="·"/>
      <w:lvlJc w:val="left"/>
      <w:pPr>
        <w:ind w:left="3600" w:hanging="360"/>
      </w:pPr>
      <w:rPr>
        <w:rFonts w:ascii="Symbol" w:hAnsi="Symbol"/>
      </w:rPr>
    </w:lvl>
    <w:lvl w:ilvl="5" w:tplc="4D2A9E54">
      <w:start w:val="1"/>
      <w:numFmt w:val="bullet"/>
      <w:lvlText w:val="o"/>
      <w:lvlJc w:val="left"/>
      <w:pPr>
        <w:ind w:left="4320" w:hanging="360"/>
      </w:pPr>
      <w:rPr>
        <w:rFonts w:ascii="Symbol" w:hAnsi="Symbol"/>
      </w:rPr>
    </w:lvl>
    <w:lvl w:ilvl="6" w:tplc="8ECA4F62">
      <w:start w:val="1"/>
      <w:numFmt w:val="bullet"/>
      <w:lvlText w:val="·"/>
      <w:lvlJc w:val="left"/>
      <w:pPr>
        <w:ind w:left="5040" w:hanging="360"/>
      </w:pPr>
      <w:rPr>
        <w:rFonts w:ascii="Symbol" w:hAnsi="Symbol"/>
      </w:rPr>
    </w:lvl>
    <w:lvl w:ilvl="7" w:tplc="FCA046A0">
      <w:start w:val="1"/>
      <w:numFmt w:val="bullet"/>
      <w:lvlText w:val="o"/>
      <w:lvlJc w:val="left"/>
      <w:pPr>
        <w:ind w:left="5760" w:hanging="360"/>
      </w:pPr>
      <w:rPr>
        <w:rFonts w:ascii="Symbol" w:hAnsi="Symbol"/>
      </w:rPr>
    </w:lvl>
    <w:lvl w:ilvl="8" w:tplc="F6027128">
      <w:start w:val="1"/>
      <w:numFmt w:val="bullet"/>
      <w:lvlText w:val="·"/>
      <w:lvlJc w:val="left"/>
      <w:pPr>
        <w:ind w:left="6480" w:hanging="360"/>
      </w:pPr>
      <w:rPr>
        <w:rFonts w:ascii="Symbol" w:hAnsi="Symbol"/>
      </w:rPr>
    </w:lvl>
  </w:abstractNum>
  <w:abstractNum w:abstractNumId="11">
    <w:nsid w:val="0D5C3E95"/>
    <w:multiLevelType w:val="multilevel"/>
    <w:tmpl w:val="2BD262A0"/>
    <w:lvl w:ilvl="0">
      <w:start w:val="1"/>
      <w:numFmt w:val="decimal"/>
      <w:pStyle w:val="Overskrift1"/>
      <w:lvlText w:val="%1."/>
      <w:lvlJc w:val="left"/>
      <w:pPr>
        <w:ind w:left="964" w:hanging="964"/>
      </w:pPr>
    </w:lvl>
    <w:lvl w:ilvl="1">
      <w:start w:val="1"/>
      <w:numFmt w:val="decimal"/>
      <w:pStyle w:val="Overskrift2"/>
      <w:lvlText w:val="%1.%2"/>
      <w:lvlJc w:val="left"/>
      <w:pPr>
        <w:ind w:left="964" w:hanging="964"/>
      </w:pPr>
    </w:lvl>
    <w:lvl w:ilvl="2">
      <w:start w:val="1"/>
      <w:numFmt w:val="decimal"/>
      <w:pStyle w:val="Overskrift3"/>
      <w:lvlText w:val="%1.%2.%3"/>
      <w:lvlJc w:val="left"/>
      <w:pPr>
        <w:ind w:left="964" w:hanging="964"/>
      </w:pPr>
    </w:lvl>
    <w:lvl w:ilvl="3">
      <w:start w:val="1"/>
      <w:numFmt w:val="decimal"/>
      <w:pStyle w:val="Overskrift4"/>
      <w:lvlText w:val="%1.%2.%3.%4"/>
      <w:lvlJc w:val="left"/>
      <w:pPr>
        <w:ind w:left="964" w:hanging="964"/>
      </w:pPr>
    </w:lvl>
    <w:lvl w:ilvl="4">
      <w:start w:val="1"/>
      <w:numFmt w:val="decimal"/>
      <w:pStyle w:val="Overskrift5"/>
      <w:lvlText w:val="%1.%2.%3.%4.%5"/>
      <w:lvlJc w:val="left"/>
      <w:pPr>
        <w:ind w:left="1021" w:hanging="1021"/>
      </w:pPr>
    </w:lvl>
    <w:lvl w:ilvl="5">
      <w:start w:val="1"/>
      <w:numFmt w:val="decimal"/>
      <w:pStyle w:val="Overskrift6"/>
      <w:lvlText w:val="%1.%2.%3.%4.%5.%6"/>
      <w:lvlJc w:val="left"/>
      <w:pPr>
        <w:ind w:left="1134" w:hanging="1134"/>
      </w:pPr>
    </w:lvl>
    <w:lvl w:ilvl="6">
      <w:start w:val="1"/>
      <w:numFmt w:val="decimal"/>
      <w:pStyle w:val="Overskrift7"/>
      <w:lvlText w:val="%1.%2.%3.%4.%5.%6.%7"/>
      <w:lvlJc w:val="left"/>
      <w:pPr>
        <w:ind w:left="1247" w:hanging="1247"/>
      </w:pPr>
    </w:lvl>
    <w:lvl w:ilvl="7">
      <w:start w:val="1"/>
      <w:numFmt w:val="decimal"/>
      <w:pStyle w:val="Overskrift8"/>
      <w:lvlText w:val="%1.%2.%3.%4.%5.%6.%7.%8"/>
      <w:lvlJc w:val="left"/>
      <w:pPr>
        <w:ind w:left="1418" w:hanging="1418"/>
      </w:pPr>
    </w:lvl>
    <w:lvl w:ilvl="8">
      <w:start w:val="1"/>
      <w:numFmt w:val="decimal"/>
      <w:pStyle w:val="Overskrift9"/>
      <w:lvlText w:val="%1.%2.%3.%4.%5.%6.%7.%8.%9"/>
      <w:lvlJc w:val="left"/>
      <w:pPr>
        <w:ind w:left="1588" w:hanging="1588"/>
      </w:pPr>
    </w:lvl>
  </w:abstractNum>
  <w:abstractNum w:abstractNumId="12">
    <w:nsid w:val="10C20017"/>
    <w:multiLevelType w:val="hybridMultilevel"/>
    <w:tmpl w:val="F71EC978"/>
    <w:lvl w:ilvl="0" w:tplc="A69E9D38">
      <w:start w:val="1"/>
      <w:numFmt w:val="bullet"/>
      <w:lvlText w:val="·"/>
      <w:lvlJc w:val="left"/>
      <w:pPr>
        <w:ind w:left="720" w:hanging="360"/>
      </w:pPr>
      <w:rPr>
        <w:rFonts w:ascii="Symbol" w:hAnsi="Symbol"/>
      </w:rPr>
    </w:lvl>
    <w:lvl w:ilvl="1" w:tplc="F830FA7E">
      <w:start w:val="1"/>
      <w:numFmt w:val="bullet"/>
      <w:lvlText w:val="o"/>
      <w:lvlJc w:val="left"/>
      <w:pPr>
        <w:ind w:left="1440" w:hanging="360"/>
      </w:pPr>
      <w:rPr>
        <w:rFonts w:ascii="Symbol" w:hAnsi="Symbol"/>
      </w:rPr>
    </w:lvl>
    <w:lvl w:ilvl="2" w:tplc="77DA5262">
      <w:start w:val="1"/>
      <w:numFmt w:val="bullet"/>
      <w:lvlText w:val="·"/>
      <w:lvlJc w:val="left"/>
      <w:pPr>
        <w:ind w:left="2160" w:hanging="360"/>
      </w:pPr>
      <w:rPr>
        <w:rFonts w:ascii="Symbol" w:hAnsi="Symbol"/>
      </w:rPr>
    </w:lvl>
    <w:lvl w:ilvl="3" w:tplc="CD20BEA4">
      <w:start w:val="1"/>
      <w:numFmt w:val="bullet"/>
      <w:lvlText w:val="o"/>
      <w:lvlJc w:val="left"/>
      <w:pPr>
        <w:ind w:left="2880" w:hanging="360"/>
      </w:pPr>
      <w:rPr>
        <w:rFonts w:ascii="Symbol" w:hAnsi="Symbol"/>
      </w:rPr>
    </w:lvl>
    <w:lvl w:ilvl="4" w:tplc="4B52E590">
      <w:start w:val="1"/>
      <w:numFmt w:val="bullet"/>
      <w:lvlText w:val="·"/>
      <w:lvlJc w:val="left"/>
      <w:pPr>
        <w:ind w:left="3600" w:hanging="360"/>
      </w:pPr>
      <w:rPr>
        <w:rFonts w:ascii="Symbol" w:hAnsi="Symbol"/>
      </w:rPr>
    </w:lvl>
    <w:lvl w:ilvl="5" w:tplc="6FB60E1E">
      <w:start w:val="1"/>
      <w:numFmt w:val="bullet"/>
      <w:lvlText w:val="o"/>
      <w:lvlJc w:val="left"/>
      <w:pPr>
        <w:ind w:left="4320" w:hanging="360"/>
      </w:pPr>
      <w:rPr>
        <w:rFonts w:ascii="Symbol" w:hAnsi="Symbol"/>
      </w:rPr>
    </w:lvl>
    <w:lvl w:ilvl="6" w:tplc="D70218E8">
      <w:start w:val="1"/>
      <w:numFmt w:val="bullet"/>
      <w:lvlText w:val="·"/>
      <w:lvlJc w:val="left"/>
      <w:pPr>
        <w:ind w:left="5040" w:hanging="360"/>
      </w:pPr>
      <w:rPr>
        <w:rFonts w:ascii="Symbol" w:hAnsi="Symbol"/>
      </w:rPr>
    </w:lvl>
    <w:lvl w:ilvl="7" w:tplc="F4AE76BE">
      <w:start w:val="1"/>
      <w:numFmt w:val="bullet"/>
      <w:lvlText w:val="o"/>
      <w:lvlJc w:val="left"/>
      <w:pPr>
        <w:ind w:left="5760" w:hanging="360"/>
      </w:pPr>
      <w:rPr>
        <w:rFonts w:ascii="Symbol" w:hAnsi="Symbol"/>
      </w:rPr>
    </w:lvl>
    <w:lvl w:ilvl="8" w:tplc="EB18ABA8">
      <w:start w:val="1"/>
      <w:numFmt w:val="bullet"/>
      <w:lvlText w:val="·"/>
      <w:lvlJc w:val="left"/>
      <w:pPr>
        <w:ind w:left="6480" w:hanging="360"/>
      </w:pPr>
      <w:rPr>
        <w:rFonts w:ascii="Symbol" w:hAnsi="Symbol"/>
      </w:rPr>
    </w:lvl>
  </w:abstractNum>
  <w:abstractNum w:abstractNumId="13">
    <w:nsid w:val="14A86107"/>
    <w:multiLevelType w:val="hybridMultilevel"/>
    <w:tmpl w:val="20E0A70C"/>
    <w:lvl w:ilvl="0" w:tplc="1B482324">
      <w:start w:val="2"/>
      <w:numFmt w:val="decimal"/>
      <w:lvlText w:val="%1."/>
      <w:lvlJc w:val="left"/>
      <w:pPr>
        <w:ind w:left="720" w:hanging="360"/>
      </w:pPr>
    </w:lvl>
    <w:lvl w:ilvl="1" w:tplc="97F6472C">
      <w:start w:val="1"/>
      <w:numFmt w:val="decimal"/>
      <w:lvlText w:val="%2."/>
      <w:lvlJc w:val="left"/>
      <w:pPr>
        <w:ind w:left="1440" w:hanging="360"/>
      </w:pPr>
    </w:lvl>
    <w:lvl w:ilvl="2" w:tplc="FB10312C">
      <w:start w:val="1"/>
      <w:numFmt w:val="decimal"/>
      <w:lvlText w:val="%3."/>
      <w:lvlJc w:val="left"/>
      <w:pPr>
        <w:ind w:left="2160" w:hanging="360"/>
      </w:pPr>
    </w:lvl>
    <w:lvl w:ilvl="3" w:tplc="C9823434">
      <w:start w:val="1"/>
      <w:numFmt w:val="decimal"/>
      <w:lvlText w:val="%4."/>
      <w:lvlJc w:val="left"/>
      <w:pPr>
        <w:ind w:left="2880" w:hanging="360"/>
      </w:pPr>
    </w:lvl>
    <w:lvl w:ilvl="4" w:tplc="182A6766">
      <w:start w:val="1"/>
      <w:numFmt w:val="decimal"/>
      <w:lvlText w:val="%5."/>
      <w:lvlJc w:val="left"/>
      <w:pPr>
        <w:ind w:left="3600" w:hanging="360"/>
      </w:pPr>
    </w:lvl>
    <w:lvl w:ilvl="5" w:tplc="2820DA88">
      <w:start w:val="1"/>
      <w:numFmt w:val="decimal"/>
      <w:lvlText w:val="%6."/>
      <w:lvlJc w:val="left"/>
      <w:pPr>
        <w:ind w:left="4320" w:hanging="360"/>
      </w:pPr>
    </w:lvl>
    <w:lvl w:ilvl="6" w:tplc="38C2EE7C">
      <w:start w:val="1"/>
      <w:numFmt w:val="decimal"/>
      <w:lvlText w:val="%7."/>
      <w:lvlJc w:val="left"/>
      <w:pPr>
        <w:ind w:left="5040" w:hanging="360"/>
      </w:pPr>
    </w:lvl>
    <w:lvl w:ilvl="7" w:tplc="C29456C4">
      <w:start w:val="1"/>
      <w:numFmt w:val="decimal"/>
      <w:lvlText w:val="%8."/>
      <w:lvlJc w:val="left"/>
      <w:pPr>
        <w:ind w:left="5760" w:hanging="360"/>
      </w:pPr>
    </w:lvl>
    <w:lvl w:ilvl="8" w:tplc="F61C2A2E">
      <w:start w:val="1"/>
      <w:numFmt w:val="decimal"/>
      <w:lvlText w:val="%9."/>
      <w:lvlJc w:val="left"/>
      <w:pPr>
        <w:ind w:left="6480" w:hanging="360"/>
      </w:pPr>
    </w:lvl>
  </w:abstractNum>
  <w:abstractNum w:abstractNumId="14">
    <w:nsid w:val="15C26467"/>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730448E"/>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17FF362D"/>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1E218DCB"/>
    <w:multiLevelType w:val="hybridMultilevel"/>
    <w:tmpl w:val="BC76A956"/>
    <w:lvl w:ilvl="0" w:tplc="FAEE013A">
      <w:start w:val="1"/>
      <w:numFmt w:val="decimal"/>
      <w:lvlText w:val="%1."/>
      <w:lvlJc w:val="left"/>
      <w:pPr>
        <w:ind w:left="720" w:hanging="360"/>
      </w:pPr>
    </w:lvl>
    <w:lvl w:ilvl="1" w:tplc="4F5E341E">
      <w:start w:val="1"/>
      <w:numFmt w:val="decimal"/>
      <w:lvlText w:val="%2."/>
      <w:lvlJc w:val="left"/>
      <w:pPr>
        <w:ind w:left="1440" w:hanging="360"/>
      </w:pPr>
    </w:lvl>
    <w:lvl w:ilvl="2" w:tplc="C4E62D36">
      <w:start w:val="1"/>
      <w:numFmt w:val="decimal"/>
      <w:lvlText w:val="%3."/>
      <w:lvlJc w:val="left"/>
      <w:pPr>
        <w:ind w:left="2160" w:hanging="360"/>
      </w:pPr>
    </w:lvl>
    <w:lvl w:ilvl="3" w:tplc="FBB62130">
      <w:start w:val="1"/>
      <w:numFmt w:val="decimal"/>
      <w:lvlText w:val="%4."/>
      <w:lvlJc w:val="left"/>
      <w:pPr>
        <w:ind w:left="2880" w:hanging="360"/>
      </w:pPr>
    </w:lvl>
    <w:lvl w:ilvl="4" w:tplc="B9626B40">
      <w:start w:val="1"/>
      <w:numFmt w:val="decimal"/>
      <w:lvlText w:val="%5."/>
      <w:lvlJc w:val="left"/>
      <w:pPr>
        <w:ind w:left="3600" w:hanging="360"/>
      </w:pPr>
    </w:lvl>
    <w:lvl w:ilvl="5" w:tplc="D2129C52">
      <w:start w:val="1"/>
      <w:numFmt w:val="decimal"/>
      <w:lvlText w:val="%6."/>
      <w:lvlJc w:val="left"/>
      <w:pPr>
        <w:ind w:left="4320" w:hanging="360"/>
      </w:pPr>
    </w:lvl>
    <w:lvl w:ilvl="6" w:tplc="6F686642">
      <w:start w:val="1"/>
      <w:numFmt w:val="decimal"/>
      <w:lvlText w:val="%7."/>
      <w:lvlJc w:val="left"/>
      <w:pPr>
        <w:ind w:left="5040" w:hanging="360"/>
      </w:pPr>
    </w:lvl>
    <w:lvl w:ilvl="7" w:tplc="4B08088A">
      <w:start w:val="1"/>
      <w:numFmt w:val="decimal"/>
      <w:lvlText w:val="%8."/>
      <w:lvlJc w:val="left"/>
      <w:pPr>
        <w:ind w:left="5760" w:hanging="360"/>
      </w:pPr>
    </w:lvl>
    <w:lvl w:ilvl="8" w:tplc="F95CC6F4">
      <w:start w:val="1"/>
      <w:numFmt w:val="decimal"/>
      <w:lvlText w:val="%9."/>
      <w:lvlJc w:val="left"/>
      <w:pPr>
        <w:ind w:left="6480" w:hanging="360"/>
      </w:pPr>
    </w:lvl>
  </w:abstractNum>
  <w:abstractNum w:abstractNumId="18">
    <w:nsid w:val="1ECC2096"/>
    <w:multiLevelType w:val="multilevel"/>
    <w:tmpl w:val="2AE03450"/>
    <w:lvl w:ilvl="0">
      <w:start w:val="1"/>
      <w:numFmt w:val="decimal"/>
      <w:lvlText w:val="%1."/>
      <w:lvlJc w:val="left"/>
      <w:pPr>
        <w:ind w:left="851" w:hanging="851"/>
      </w:pPr>
    </w:lvl>
    <w:lvl w:ilvl="1">
      <w:start w:val="1"/>
      <w:numFmt w:val="decimal"/>
      <w:lvlText w:val="%1.%2"/>
      <w:lvlJc w:val="left"/>
      <w:pPr>
        <w:ind w:left="851" w:hanging="851"/>
      </w:pPr>
    </w:lvl>
    <w:lvl w:ilvl="2">
      <w:start w:val="1"/>
      <w:numFmt w:val="decimal"/>
      <w:lvlText w:val="%1.%2.%3"/>
      <w:lvlJc w:val="left"/>
      <w:pPr>
        <w:ind w:left="851" w:hanging="851"/>
      </w:pPr>
    </w:lvl>
    <w:lvl w:ilvl="3">
      <w:start w:val="1"/>
      <w:numFmt w:val="decimal"/>
      <w:lvlText w:val="%1.%2.%3.%4"/>
      <w:lvlJc w:val="left"/>
      <w:pPr>
        <w:ind w:left="851" w:hanging="851"/>
      </w:pPr>
    </w:lvl>
    <w:lvl w:ilvl="4">
      <w:start w:val="1"/>
      <w:numFmt w:val="decimal"/>
      <w:lvlText w:val="%1.%2.%3.%4.%5"/>
      <w:lvlJc w:val="left"/>
      <w:pPr>
        <w:ind w:left="1021" w:hanging="1021"/>
      </w:pPr>
    </w:lvl>
    <w:lvl w:ilvl="5">
      <w:start w:val="1"/>
      <w:numFmt w:val="decimal"/>
      <w:lvlText w:val="%1.%2.%3.%4.%5.%6"/>
      <w:lvlJc w:val="left"/>
      <w:pPr>
        <w:ind w:left="1134" w:hanging="1134"/>
      </w:pPr>
    </w:lvl>
    <w:lvl w:ilvl="6">
      <w:start w:val="1"/>
      <w:numFmt w:val="decimal"/>
      <w:lvlText w:val="%1.%2.%3.%4.%5.%6.%7"/>
      <w:lvlJc w:val="left"/>
      <w:pPr>
        <w:ind w:left="1247" w:hanging="1247"/>
      </w:pPr>
    </w:lvl>
    <w:lvl w:ilvl="7">
      <w:start w:val="1"/>
      <w:numFmt w:val="decimal"/>
      <w:lvlText w:val="%1.%2.%3.%4.%5.%6.%7.%8"/>
      <w:lvlJc w:val="left"/>
      <w:pPr>
        <w:ind w:left="1418" w:hanging="1418"/>
      </w:pPr>
    </w:lvl>
    <w:lvl w:ilvl="8">
      <w:start w:val="1"/>
      <w:numFmt w:val="decimal"/>
      <w:lvlText w:val="%1.%2.%3.%4.%5.%6.%7.%8.%9"/>
      <w:lvlJc w:val="left"/>
      <w:pPr>
        <w:ind w:left="1588" w:hanging="1588"/>
      </w:pPr>
    </w:lvl>
  </w:abstractNum>
  <w:abstractNum w:abstractNumId="19">
    <w:nsid w:val="233F505B"/>
    <w:multiLevelType w:val="multilevel"/>
    <w:tmpl w:val="593A6BB0"/>
    <w:lvl w:ilvl="0">
      <w:start w:val="1"/>
      <w:numFmt w:val="decimal"/>
      <w:lvlText w:val="%1."/>
      <w:lvlJc w:val="left"/>
      <w:pPr>
        <w:ind w:left="624" w:hanging="624"/>
      </w:pPr>
    </w:lvl>
    <w:lvl w:ilvl="1">
      <w:start w:val="1"/>
      <w:numFmt w:val="decimal"/>
      <w:lvlText w:val="%1.%2"/>
      <w:lvlJc w:val="left"/>
      <w:pPr>
        <w:ind w:left="624" w:hanging="624"/>
      </w:pPr>
    </w:lvl>
    <w:lvl w:ilvl="2">
      <w:start w:val="1"/>
      <w:numFmt w:val="decimal"/>
      <w:lvlText w:val="%1.%2.%3"/>
      <w:lvlJc w:val="left"/>
      <w:pPr>
        <w:ind w:left="851" w:hanging="851"/>
      </w:pPr>
    </w:lvl>
    <w:lvl w:ilvl="3">
      <w:start w:val="1"/>
      <w:numFmt w:val="decimal"/>
      <w:lvlText w:val="%1.%2.%3.%4"/>
      <w:lvlJc w:val="left"/>
      <w:pPr>
        <w:ind w:left="851" w:hanging="851"/>
      </w:pPr>
    </w:lvl>
    <w:lvl w:ilvl="4">
      <w:start w:val="1"/>
      <w:numFmt w:val="decimal"/>
      <w:lvlText w:val="%1.%2.%3.%4.%5"/>
      <w:lvlJc w:val="left"/>
      <w:pPr>
        <w:ind w:left="1021" w:hanging="1021"/>
      </w:pPr>
    </w:lvl>
    <w:lvl w:ilvl="5">
      <w:start w:val="1"/>
      <w:numFmt w:val="decimal"/>
      <w:lvlText w:val="%1.%2.%3.%4.%5.%6"/>
      <w:lvlJc w:val="left"/>
      <w:pPr>
        <w:ind w:left="1134" w:hanging="1134"/>
      </w:pPr>
    </w:lvl>
    <w:lvl w:ilvl="6">
      <w:start w:val="1"/>
      <w:numFmt w:val="decimal"/>
      <w:lvlText w:val="%1.%2.%3.%4.%5.%6.%7"/>
      <w:lvlJc w:val="left"/>
      <w:pPr>
        <w:ind w:left="1247" w:hanging="1247"/>
      </w:pPr>
    </w:lvl>
    <w:lvl w:ilvl="7">
      <w:start w:val="1"/>
      <w:numFmt w:val="decimal"/>
      <w:lvlText w:val="%1.%2.%3.%4.%5.%6.%7.%8"/>
      <w:lvlJc w:val="left"/>
      <w:pPr>
        <w:ind w:left="1418" w:hanging="1418"/>
      </w:pPr>
    </w:lvl>
    <w:lvl w:ilvl="8">
      <w:start w:val="1"/>
      <w:numFmt w:val="decimal"/>
      <w:lvlText w:val="%1.%2.%3.%4.%5.%6.%7.%8.%9"/>
      <w:lvlJc w:val="left"/>
      <w:pPr>
        <w:ind w:left="1588" w:hanging="1588"/>
      </w:pPr>
    </w:lvl>
  </w:abstractNum>
  <w:abstractNum w:abstractNumId="20">
    <w:nsid w:val="2E9D69AD"/>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31CE5B3C"/>
    <w:multiLevelType w:val="hybridMultilevel"/>
    <w:tmpl w:val="D0B66C2E"/>
    <w:lvl w:ilvl="0" w:tplc="0406000F">
      <w:start w:val="1"/>
      <w:numFmt w:val="decimal"/>
      <w:lvlText w:val="%1."/>
      <w:lvlJc w:val="left"/>
      <w:pPr>
        <w:ind w:left="765" w:hanging="360"/>
      </w:pPr>
    </w:lvl>
    <w:lvl w:ilvl="1" w:tplc="04060019" w:tentative="1">
      <w:start w:val="1"/>
      <w:numFmt w:val="lowerLetter"/>
      <w:lvlText w:val="%2."/>
      <w:lvlJc w:val="left"/>
      <w:pPr>
        <w:ind w:left="1485" w:hanging="360"/>
      </w:pPr>
    </w:lvl>
    <w:lvl w:ilvl="2" w:tplc="0406001B" w:tentative="1">
      <w:start w:val="1"/>
      <w:numFmt w:val="lowerRoman"/>
      <w:lvlText w:val="%3."/>
      <w:lvlJc w:val="right"/>
      <w:pPr>
        <w:ind w:left="2205" w:hanging="180"/>
      </w:pPr>
    </w:lvl>
    <w:lvl w:ilvl="3" w:tplc="0406000F" w:tentative="1">
      <w:start w:val="1"/>
      <w:numFmt w:val="decimal"/>
      <w:lvlText w:val="%4."/>
      <w:lvlJc w:val="left"/>
      <w:pPr>
        <w:ind w:left="2925" w:hanging="360"/>
      </w:pPr>
    </w:lvl>
    <w:lvl w:ilvl="4" w:tplc="04060019" w:tentative="1">
      <w:start w:val="1"/>
      <w:numFmt w:val="lowerLetter"/>
      <w:lvlText w:val="%5."/>
      <w:lvlJc w:val="left"/>
      <w:pPr>
        <w:ind w:left="3645" w:hanging="360"/>
      </w:pPr>
    </w:lvl>
    <w:lvl w:ilvl="5" w:tplc="0406001B" w:tentative="1">
      <w:start w:val="1"/>
      <w:numFmt w:val="lowerRoman"/>
      <w:lvlText w:val="%6."/>
      <w:lvlJc w:val="right"/>
      <w:pPr>
        <w:ind w:left="4365" w:hanging="180"/>
      </w:pPr>
    </w:lvl>
    <w:lvl w:ilvl="6" w:tplc="0406000F" w:tentative="1">
      <w:start w:val="1"/>
      <w:numFmt w:val="decimal"/>
      <w:lvlText w:val="%7."/>
      <w:lvlJc w:val="left"/>
      <w:pPr>
        <w:ind w:left="5085" w:hanging="360"/>
      </w:pPr>
    </w:lvl>
    <w:lvl w:ilvl="7" w:tplc="04060019" w:tentative="1">
      <w:start w:val="1"/>
      <w:numFmt w:val="lowerLetter"/>
      <w:lvlText w:val="%8."/>
      <w:lvlJc w:val="left"/>
      <w:pPr>
        <w:ind w:left="5805" w:hanging="360"/>
      </w:pPr>
    </w:lvl>
    <w:lvl w:ilvl="8" w:tplc="0406001B" w:tentative="1">
      <w:start w:val="1"/>
      <w:numFmt w:val="lowerRoman"/>
      <w:lvlText w:val="%9."/>
      <w:lvlJc w:val="right"/>
      <w:pPr>
        <w:ind w:left="6525" w:hanging="180"/>
      </w:pPr>
    </w:lvl>
  </w:abstractNum>
  <w:abstractNum w:abstractNumId="22">
    <w:nsid w:val="38CF094A"/>
    <w:multiLevelType w:val="multilevel"/>
    <w:tmpl w:val="B0AEB75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nsid w:val="42503DAE"/>
    <w:multiLevelType w:val="hybridMultilevel"/>
    <w:tmpl w:val="F52AD88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nsid w:val="49F62D20"/>
    <w:multiLevelType w:val="multilevel"/>
    <w:tmpl w:val="70421842"/>
    <w:lvl w:ilvl="0">
      <w:start w:val="1"/>
      <w:numFmt w:val="decimal"/>
      <w:pStyle w:val="Bilagsoverskrift"/>
      <w:lvlText w:val="Bilag %1:"/>
      <w:lvlJc w:val="left"/>
      <w:pPr>
        <w:ind w:left="1418" w:hanging="1418"/>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4AE02D3C"/>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4EFB2D30"/>
    <w:multiLevelType w:val="hybridMultilevel"/>
    <w:tmpl w:val="6C545B2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nsid w:val="50DE1FA3"/>
    <w:multiLevelType w:val="multilevel"/>
    <w:tmpl w:val="1CFE86E4"/>
    <w:lvl w:ilvl="0">
      <w:start w:val="1"/>
      <w:numFmt w:val="decimal"/>
      <w:lvlText w:val="%1."/>
      <w:lvlJc w:val="left"/>
      <w:pPr>
        <w:ind w:left="454" w:hanging="454"/>
      </w:pPr>
    </w:lvl>
    <w:lvl w:ilvl="1">
      <w:start w:val="1"/>
      <w:numFmt w:val="decimal"/>
      <w:lvlText w:val="%1.%2"/>
      <w:lvlJc w:val="left"/>
      <w:pPr>
        <w:ind w:left="567" w:hanging="567"/>
      </w:pPr>
    </w:lvl>
    <w:lvl w:ilvl="2">
      <w:start w:val="1"/>
      <w:numFmt w:val="decimal"/>
      <w:lvlText w:val="%1.%2.%3"/>
      <w:lvlJc w:val="left"/>
      <w:pPr>
        <w:ind w:left="737" w:hanging="737"/>
      </w:pPr>
    </w:lvl>
    <w:lvl w:ilvl="3">
      <w:start w:val="1"/>
      <w:numFmt w:val="decimal"/>
      <w:lvlText w:val="%1.%2.%3.%4"/>
      <w:lvlJc w:val="left"/>
      <w:pPr>
        <w:ind w:left="851" w:hanging="851"/>
      </w:pPr>
    </w:lvl>
    <w:lvl w:ilvl="4">
      <w:start w:val="1"/>
      <w:numFmt w:val="decimal"/>
      <w:lvlText w:val="%1.%2.%3.%4.%5"/>
      <w:lvlJc w:val="left"/>
      <w:pPr>
        <w:ind w:left="1021" w:hanging="1021"/>
      </w:pPr>
    </w:lvl>
    <w:lvl w:ilvl="5">
      <w:start w:val="1"/>
      <w:numFmt w:val="decimal"/>
      <w:lvlText w:val="%1.%2.%3.%4.%5.%6"/>
      <w:lvlJc w:val="left"/>
      <w:pPr>
        <w:ind w:left="1134" w:hanging="1134"/>
      </w:pPr>
    </w:lvl>
    <w:lvl w:ilvl="6">
      <w:start w:val="1"/>
      <w:numFmt w:val="decimal"/>
      <w:lvlText w:val="%1.%2.%3.%4.%5.%6.%7"/>
      <w:lvlJc w:val="left"/>
      <w:pPr>
        <w:ind w:left="1247" w:hanging="1247"/>
      </w:pPr>
    </w:lvl>
    <w:lvl w:ilvl="7">
      <w:start w:val="1"/>
      <w:numFmt w:val="decimal"/>
      <w:lvlText w:val="%1.%2.%3.%4.%5.%6.%7.%8"/>
      <w:lvlJc w:val="left"/>
      <w:pPr>
        <w:ind w:left="1418" w:hanging="1418"/>
      </w:pPr>
    </w:lvl>
    <w:lvl w:ilvl="8">
      <w:start w:val="1"/>
      <w:numFmt w:val="decimal"/>
      <w:lvlText w:val="%1.%2.%3.%4.%5.%6.%7.%8.%9"/>
      <w:lvlJc w:val="left"/>
      <w:pPr>
        <w:ind w:left="1588" w:hanging="1588"/>
      </w:pPr>
    </w:lvl>
  </w:abstractNum>
  <w:abstractNum w:abstractNumId="28">
    <w:nsid w:val="51380BB6"/>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1CE1698"/>
    <w:multiLevelType w:val="hybridMultilevel"/>
    <w:tmpl w:val="00063606"/>
    <w:lvl w:ilvl="0" w:tplc="C2025540">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nsid w:val="5461676B"/>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649B62B8"/>
    <w:multiLevelType w:val="multilevel"/>
    <w:tmpl w:val="14321E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87A4E3B"/>
    <w:multiLevelType w:val="multilevel"/>
    <w:tmpl w:val="61F422EC"/>
    <w:lvl w:ilvl="0">
      <w:start w:val="1"/>
      <w:numFmt w:val="decimal"/>
      <w:lvlText w:val="%1."/>
      <w:lvlJc w:val="left"/>
      <w:pPr>
        <w:ind w:left="851" w:hanging="851"/>
      </w:pPr>
    </w:lvl>
    <w:lvl w:ilvl="1">
      <w:start w:val="1"/>
      <w:numFmt w:val="decimal"/>
      <w:lvlText w:val="%1.%2"/>
      <w:lvlJc w:val="left"/>
      <w:pPr>
        <w:ind w:left="851" w:hanging="851"/>
      </w:pPr>
    </w:lvl>
    <w:lvl w:ilvl="2">
      <w:start w:val="1"/>
      <w:numFmt w:val="decimal"/>
      <w:lvlText w:val="%1.%2.%3"/>
      <w:lvlJc w:val="left"/>
      <w:pPr>
        <w:ind w:left="851" w:hanging="851"/>
      </w:pPr>
    </w:lvl>
    <w:lvl w:ilvl="3">
      <w:start w:val="1"/>
      <w:numFmt w:val="decimal"/>
      <w:lvlText w:val="%1.%2.%3.%4"/>
      <w:lvlJc w:val="left"/>
      <w:pPr>
        <w:ind w:left="851" w:hanging="851"/>
      </w:pPr>
    </w:lvl>
    <w:lvl w:ilvl="4">
      <w:start w:val="1"/>
      <w:numFmt w:val="decimal"/>
      <w:lvlText w:val="%1.%2.%3.%4.%5"/>
      <w:lvlJc w:val="left"/>
      <w:pPr>
        <w:ind w:left="1021" w:hanging="1021"/>
      </w:pPr>
    </w:lvl>
    <w:lvl w:ilvl="5">
      <w:start w:val="1"/>
      <w:numFmt w:val="decimal"/>
      <w:lvlText w:val="%1.%2.%3.%4.%5.%6"/>
      <w:lvlJc w:val="left"/>
      <w:pPr>
        <w:ind w:left="1134" w:hanging="1134"/>
      </w:pPr>
    </w:lvl>
    <w:lvl w:ilvl="6">
      <w:start w:val="1"/>
      <w:numFmt w:val="decimal"/>
      <w:lvlText w:val="%1.%2.%3.%4.%5.%6.%7"/>
      <w:lvlJc w:val="left"/>
      <w:pPr>
        <w:ind w:left="1247" w:hanging="1247"/>
      </w:pPr>
    </w:lvl>
    <w:lvl w:ilvl="7">
      <w:start w:val="1"/>
      <w:numFmt w:val="decimal"/>
      <w:lvlText w:val="%1.%2.%3.%4.%5.%6.%7.%8"/>
      <w:lvlJc w:val="left"/>
      <w:pPr>
        <w:ind w:left="1418" w:hanging="1418"/>
      </w:pPr>
    </w:lvl>
    <w:lvl w:ilvl="8">
      <w:start w:val="1"/>
      <w:numFmt w:val="decimal"/>
      <w:lvlText w:val="%1.%2.%3.%4.%5.%6.%7.%8.%9"/>
      <w:lvlJc w:val="left"/>
      <w:pPr>
        <w:ind w:left="1588" w:hanging="1588"/>
      </w:pPr>
    </w:lvl>
  </w:abstractNum>
  <w:abstractNum w:abstractNumId="33">
    <w:nsid w:val="6ACB3B03"/>
    <w:multiLevelType w:val="multilevel"/>
    <w:tmpl w:val="3B42A000"/>
    <w:lvl w:ilvl="0">
      <w:start w:val="1"/>
      <w:numFmt w:val="bullet"/>
      <w:pStyle w:val="Opstilling-punkttegn"/>
      <w:lvlText w:val=""/>
      <w:lvlJc w:val="left"/>
      <w:pPr>
        <w:ind w:left="397" w:hanging="397"/>
      </w:pPr>
      <w:rPr>
        <w:rFonts w:ascii="Symbol" w:hAnsi="Symbol"/>
      </w:rPr>
    </w:lvl>
    <w:lvl w:ilvl="1">
      <w:start w:val="1"/>
      <w:numFmt w:val="bullet"/>
      <w:lvlText w:val=""/>
      <w:lvlJc w:val="left"/>
      <w:pPr>
        <w:ind w:left="794" w:hanging="397"/>
      </w:pPr>
      <w:rPr>
        <w:rFonts w:ascii="Symbol" w:hAnsi="Symbol"/>
      </w:rPr>
    </w:lvl>
    <w:lvl w:ilvl="2">
      <w:start w:val="1"/>
      <w:numFmt w:val="bullet"/>
      <w:lvlText w:val=""/>
      <w:lvlJc w:val="left"/>
      <w:pPr>
        <w:ind w:left="1191" w:hanging="397"/>
      </w:pPr>
      <w:rPr>
        <w:rFonts w:ascii="Wingdings" w:hAnsi="Wingdings"/>
      </w:rPr>
    </w:lvl>
    <w:lvl w:ilvl="3">
      <w:start w:val="1"/>
      <w:numFmt w:val="bullet"/>
      <w:lvlText w:val=""/>
      <w:lvlJc w:val="left"/>
      <w:pPr>
        <w:ind w:left="1588" w:hanging="397"/>
      </w:pPr>
      <w:rPr>
        <w:rFonts w:ascii="Symbol" w:hAnsi="Symbol"/>
      </w:rPr>
    </w:lvl>
    <w:lvl w:ilvl="4">
      <w:start w:val="1"/>
      <w:numFmt w:val="bullet"/>
      <w:lvlText w:val=""/>
      <w:lvlJc w:val="left"/>
      <w:pPr>
        <w:ind w:left="1800" w:hanging="360"/>
      </w:pPr>
      <w:rPr>
        <w:rFonts w:ascii="Symbol" w:hAnsi="Symbol"/>
      </w:rPr>
    </w:lvl>
    <w:lvl w:ilvl="5">
      <w:start w:val="1"/>
      <w:numFmt w:val="bullet"/>
      <w:lvlText w:val=""/>
      <w:lvlJc w:val="left"/>
      <w:pPr>
        <w:ind w:left="2160" w:hanging="360"/>
      </w:pPr>
      <w:rPr>
        <w:rFonts w:ascii="Wingdings" w:hAnsi="Wingdings"/>
      </w:rPr>
    </w:lvl>
    <w:lvl w:ilvl="6">
      <w:start w:val="1"/>
      <w:numFmt w:val="bullet"/>
      <w:lvlText w:val=""/>
      <w:lvlJc w:val="left"/>
      <w:pPr>
        <w:ind w:left="2520" w:hanging="360"/>
      </w:pPr>
      <w:rPr>
        <w:rFonts w:ascii="Wingdings" w:hAnsi="Wingdings"/>
      </w:rPr>
    </w:lvl>
    <w:lvl w:ilvl="7">
      <w:start w:val="1"/>
      <w:numFmt w:val="bullet"/>
      <w:lvlText w:val=""/>
      <w:lvlJc w:val="left"/>
      <w:pPr>
        <w:ind w:left="2880" w:hanging="360"/>
      </w:pPr>
      <w:rPr>
        <w:rFonts w:ascii="Symbol" w:hAnsi="Symbol"/>
      </w:rPr>
    </w:lvl>
    <w:lvl w:ilvl="8">
      <w:start w:val="1"/>
      <w:numFmt w:val="bullet"/>
      <w:lvlText w:val=""/>
      <w:lvlJc w:val="left"/>
      <w:pPr>
        <w:ind w:left="3240" w:hanging="360"/>
      </w:pPr>
      <w:rPr>
        <w:rFonts w:ascii="Symbol" w:hAnsi="Symbol"/>
      </w:rPr>
    </w:lvl>
  </w:abstractNum>
  <w:abstractNum w:abstractNumId="34">
    <w:nsid w:val="734C7605"/>
    <w:multiLevelType w:val="multilevel"/>
    <w:tmpl w:val="C7E8C0B2"/>
    <w:lvl w:ilvl="0">
      <w:start w:val="1"/>
      <w:numFmt w:val="decimal"/>
      <w:pStyle w:val="Opstilling-talellerbogst"/>
      <w:lvlText w:val="%1."/>
      <w:lvlJc w:val="left"/>
      <w:pPr>
        <w:ind w:left="397" w:hanging="397"/>
      </w:pPr>
      <w:rPr>
        <w:b w:val="0"/>
        <w:i w:val="0"/>
        <w:sz w:val="20"/>
      </w:rPr>
    </w:lvl>
    <w:lvl w:ilvl="1">
      <w:start w:val="1"/>
      <w:numFmt w:val="decimal"/>
      <w:lvlText w:val="%1.%2."/>
      <w:lvlJc w:val="left"/>
      <w:pPr>
        <w:ind w:left="794" w:hanging="397"/>
      </w:pPr>
    </w:lvl>
    <w:lvl w:ilvl="2">
      <w:start w:val="1"/>
      <w:numFmt w:val="decimal"/>
      <w:lvlText w:val="%1.%2.%3."/>
      <w:lvlJc w:val="left"/>
      <w:pPr>
        <w:ind w:left="1191" w:hanging="397"/>
      </w:pPr>
    </w:lvl>
    <w:lvl w:ilvl="3">
      <w:start w:val="1"/>
      <w:numFmt w:val="decimal"/>
      <w:lvlText w:val="%1.%2.%3.%4."/>
      <w:lvlJc w:val="left"/>
      <w:pPr>
        <w:ind w:left="1588" w:hanging="397"/>
      </w:pPr>
    </w:lvl>
    <w:lvl w:ilvl="4">
      <w:start w:val="1"/>
      <w:numFmt w:val="decimal"/>
      <w:lvlText w:val="%1.%2.%3.%4.%5."/>
      <w:lvlJc w:val="left"/>
      <w:pPr>
        <w:ind w:left="2234" w:hanging="646"/>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5"/>
  </w:num>
  <w:num w:numId="2">
    <w:abstractNumId w:val="15"/>
  </w:num>
  <w:num w:numId="3">
    <w:abstractNumId w:val="22"/>
  </w:num>
  <w:num w:numId="4">
    <w:abstractNumId w:val="0"/>
  </w:num>
  <w:num w:numId="5">
    <w:abstractNumId w:val="2"/>
  </w:num>
  <w:num w:numId="6">
    <w:abstractNumId w:val="3"/>
  </w:num>
  <w:num w:numId="7">
    <w:abstractNumId w:val="4"/>
  </w:num>
  <w:num w:numId="8">
    <w:abstractNumId w:val="5"/>
  </w:num>
  <w:num w:numId="9">
    <w:abstractNumId w:val="1"/>
  </w:num>
  <w:num w:numId="10">
    <w:abstractNumId w:val="6"/>
  </w:num>
  <w:num w:numId="11">
    <w:abstractNumId w:val="7"/>
  </w:num>
  <w:num w:numId="12">
    <w:abstractNumId w:val="8"/>
  </w:num>
  <w:num w:numId="13">
    <w:abstractNumId w:val="9"/>
  </w:num>
  <w:num w:numId="14">
    <w:abstractNumId w:val="33"/>
  </w:num>
  <w:num w:numId="15">
    <w:abstractNumId w:val="34"/>
  </w:num>
  <w:num w:numId="16">
    <w:abstractNumId w:val="30"/>
  </w:num>
  <w:num w:numId="17">
    <w:abstractNumId w:val="14"/>
  </w:num>
  <w:num w:numId="18">
    <w:abstractNumId w:val="16"/>
  </w:num>
  <w:num w:numId="19">
    <w:abstractNumId w:val="24"/>
  </w:num>
  <w:num w:numId="20">
    <w:abstractNumId w:val="11"/>
  </w:num>
  <w:num w:numId="21">
    <w:abstractNumId w:val="20"/>
  </w:num>
  <w:num w:numId="22">
    <w:abstractNumId w:val="27"/>
  </w:num>
  <w:num w:numId="23">
    <w:abstractNumId w:val="19"/>
  </w:num>
  <w:num w:numId="24">
    <w:abstractNumId w:val="32"/>
  </w:num>
  <w:num w:numId="25">
    <w:abstractNumId w:val="18"/>
  </w:num>
  <w:num w:numId="26">
    <w:abstractNumId w:val="28"/>
  </w:num>
  <w:num w:numId="27">
    <w:abstractNumId w:val="10"/>
  </w:num>
  <w:num w:numId="28">
    <w:abstractNumId w:val="12"/>
  </w:num>
  <w:num w:numId="29">
    <w:abstractNumId w:val="17"/>
  </w:num>
  <w:num w:numId="30">
    <w:abstractNumId w:val="13"/>
  </w:num>
  <w:num w:numId="31">
    <w:abstractNumId w:val="29"/>
  </w:num>
  <w:num w:numId="32">
    <w:abstractNumId w:val="21"/>
  </w:num>
  <w:num w:numId="33">
    <w:abstractNumId w:val="23"/>
  </w:num>
  <w:num w:numId="34">
    <w:abstractNumId w:val="31"/>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hyphenationZone w:val="425"/>
  <w:evenAndOddHeaders/>
  <w:characterSpacingControl w:val="doNotCompress"/>
  <w:hdrShapeDefaults>
    <o:shapedefaults v:ext="edit" spidmax="20482"/>
  </w:hdrShapeDefaults>
  <w:footnotePr>
    <w:footnote w:id="-1"/>
    <w:footnote w:id="0"/>
  </w:footnotePr>
  <w:endnotePr>
    <w:numFmt w:val="decimal"/>
    <w:endnote w:id="-1"/>
    <w:endnote w:id="0"/>
  </w:endnotePr>
  <w:compat>
    <w:compatSetting w:name="compatibilityMode" w:uri="http://schemas.microsoft.com/office/word" w:val="12"/>
  </w:compat>
  <w:rsids>
    <w:rsidRoot w:val="00205630"/>
    <w:rsid w:val="0004282E"/>
    <w:rsid w:val="00115FBA"/>
    <w:rsid w:val="001C717F"/>
    <w:rsid w:val="00205630"/>
    <w:rsid w:val="00211E37"/>
    <w:rsid w:val="002327DF"/>
    <w:rsid w:val="00235134"/>
    <w:rsid w:val="00257A0D"/>
    <w:rsid w:val="00265346"/>
    <w:rsid w:val="002A30B1"/>
    <w:rsid w:val="002B52F9"/>
    <w:rsid w:val="00376207"/>
    <w:rsid w:val="0044711D"/>
    <w:rsid w:val="0049225A"/>
    <w:rsid w:val="004D375B"/>
    <w:rsid w:val="00594AAB"/>
    <w:rsid w:val="006108A4"/>
    <w:rsid w:val="00670ADE"/>
    <w:rsid w:val="0067444E"/>
    <w:rsid w:val="0069361F"/>
    <w:rsid w:val="006A39E4"/>
    <w:rsid w:val="006B5E96"/>
    <w:rsid w:val="0074120A"/>
    <w:rsid w:val="00760E6E"/>
    <w:rsid w:val="00776B0E"/>
    <w:rsid w:val="007F2348"/>
    <w:rsid w:val="00856D19"/>
    <w:rsid w:val="008B0925"/>
    <w:rsid w:val="008F4BD6"/>
    <w:rsid w:val="0099438C"/>
    <w:rsid w:val="009C2B85"/>
    <w:rsid w:val="009E39BC"/>
    <w:rsid w:val="00B11D94"/>
    <w:rsid w:val="00B240C7"/>
    <w:rsid w:val="00B5156D"/>
    <w:rsid w:val="00B53569"/>
    <w:rsid w:val="00B809C2"/>
    <w:rsid w:val="00CB3DC2"/>
    <w:rsid w:val="00D579C3"/>
    <w:rsid w:val="00D67E76"/>
    <w:rsid w:val="00DB08BE"/>
    <w:rsid w:val="00E101DD"/>
    <w:rsid w:val="00F6025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line="260" w:lineRule="atLeast"/>
    </w:pPr>
    <w:rPr>
      <w:rFonts w:ascii="Georgia" w:hAnsi="Georgia"/>
      <w:sz w:val="18"/>
    </w:rPr>
  </w:style>
  <w:style w:type="paragraph" w:styleId="Overskrift1">
    <w:name w:val="heading 1"/>
    <w:basedOn w:val="Normal"/>
    <w:next w:val="Normal"/>
    <w:pPr>
      <w:pageBreakBefore/>
      <w:numPr>
        <w:numId w:val="20"/>
      </w:numPr>
      <w:spacing w:after="1440" w:line="720" w:lineRule="atLeast"/>
      <w:ind w:right="-1701"/>
      <w:contextualSpacing/>
      <w:outlineLvl w:val="0"/>
    </w:pPr>
    <w:rPr>
      <w:b/>
      <w:sz w:val="60"/>
    </w:rPr>
  </w:style>
  <w:style w:type="paragraph" w:styleId="Overskrift2">
    <w:name w:val="heading 2"/>
    <w:basedOn w:val="Normal"/>
    <w:next w:val="Normal"/>
    <w:pPr>
      <w:numPr>
        <w:ilvl w:val="1"/>
        <w:numId w:val="20"/>
      </w:numPr>
      <w:spacing w:before="240" w:after="120" w:line="240" w:lineRule="auto"/>
      <w:outlineLvl w:val="1"/>
    </w:pPr>
    <w:rPr>
      <w:b/>
      <w:sz w:val="20"/>
    </w:rPr>
  </w:style>
  <w:style w:type="paragraph" w:styleId="Overskrift3">
    <w:name w:val="heading 3"/>
    <w:basedOn w:val="Normal"/>
    <w:next w:val="Normal"/>
    <w:pPr>
      <w:numPr>
        <w:ilvl w:val="2"/>
        <w:numId w:val="20"/>
      </w:numPr>
      <w:spacing w:before="240" w:after="120" w:line="240" w:lineRule="auto"/>
      <w:outlineLvl w:val="2"/>
    </w:pPr>
    <w:rPr>
      <w:b/>
    </w:rPr>
  </w:style>
  <w:style w:type="paragraph" w:styleId="Overskrift4">
    <w:name w:val="heading 4"/>
    <w:basedOn w:val="Normal"/>
    <w:next w:val="Normal"/>
    <w:pPr>
      <w:numPr>
        <w:ilvl w:val="3"/>
        <w:numId w:val="20"/>
      </w:numPr>
      <w:outlineLvl w:val="3"/>
    </w:pPr>
    <w:rPr>
      <w:b/>
    </w:rPr>
  </w:style>
  <w:style w:type="paragraph" w:styleId="Overskrift5">
    <w:name w:val="heading 5"/>
    <w:basedOn w:val="Normal"/>
    <w:next w:val="Normal"/>
    <w:semiHidden/>
    <w:pPr>
      <w:numPr>
        <w:ilvl w:val="4"/>
        <w:numId w:val="20"/>
      </w:numPr>
      <w:outlineLvl w:val="4"/>
    </w:pPr>
    <w:rPr>
      <w:b/>
    </w:rPr>
  </w:style>
  <w:style w:type="paragraph" w:styleId="Overskrift6">
    <w:name w:val="heading 6"/>
    <w:basedOn w:val="Normal"/>
    <w:next w:val="Normal"/>
    <w:semiHidden/>
    <w:pPr>
      <w:numPr>
        <w:ilvl w:val="5"/>
        <w:numId w:val="20"/>
      </w:numPr>
      <w:outlineLvl w:val="5"/>
    </w:pPr>
    <w:rPr>
      <w:b/>
    </w:rPr>
  </w:style>
  <w:style w:type="paragraph" w:styleId="Overskrift7">
    <w:name w:val="heading 7"/>
    <w:basedOn w:val="Normal"/>
    <w:next w:val="Normal"/>
    <w:semiHidden/>
    <w:pPr>
      <w:numPr>
        <w:ilvl w:val="6"/>
        <w:numId w:val="20"/>
      </w:numPr>
      <w:outlineLvl w:val="6"/>
    </w:pPr>
    <w:rPr>
      <w:b/>
    </w:rPr>
  </w:style>
  <w:style w:type="paragraph" w:styleId="Overskrift8">
    <w:name w:val="heading 8"/>
    <w:basedOn w:val="Normal"/>
    <w:next w:val="Normal"/>
    <w:semiHidden/>
    <w:pPr>
      <w:numPr>
        <w:ilvl w:val="7"/>
        <w:numId w:val="20"/>
      </w:numPr>
      <w:outlineLvl w:val="7"/>
    </w:pPr>
    <w:rPr>
      <w:b/>
    </w:rPr>
  </w:style>
  <w:style w:type="paragraph" w:styleId="Overskrift9">
    <w:name w:val="heading 9"/>
    <w:basedOn w:val="Normal"/>
    <w:next w:val="Normal"/>
    <w:semiHidden/>
    <w:pPr>
      <w:numPr>
        <w:ilvl w:val="8"/>
        <w:numId w:val="20"/>
      </w:numPr>
      <w:outlineLvl w:val="8"/>
    </w:pPr>
    <w:rPr>
      <w: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Bloktekst">
    <w:name w:val="Block Text"/>
    <w:basedOn w:val="Normal"/>
    <w:semiHidden/>
    <w:pPr>
      <w:spacing w:after="120" w:line="240" w:lineRule="auto"/>
      <w:ind w:left="1440" w:right="1440"/>
    </w:pPr>
  </w:style>
  <w:style w:type="paragraph" w:styleId="Brdtekst">
    <w:name w:val="Body Text"/>
    <w:basedOn w:val="Normal"/>
    <w:semiHidden/>
    <w:pPr>
      <w:spacing w:after="120" w:line="240" w:lineRule="auto"/>
    </w:pPr>
  </w:style>
  <w:style w:type="paragraph" w:styleId="Brdtekst2">
    <w:name w:val="Body Text 2"/>
    <w:basedOn w:val="Normal"/>
    <w:semiHidden/>
    <w:pPr>
      <w:spacing w:after="120" w:line="480" w:lineRule="auto"/>
    </w:pPr>
  </w:style>
  <w:style w:type="paragraph" w:styleId="Brdtekst3">
    <w:name w:val="Body Text 3"/>
    <w:basedOn w:val="Normal"/>
    <w:semiHidden/>
    <w:pPr>
      <w:spacing w:after="120" w:line="240" w:lineRule="auto"/>
    </w:pPr>
    <w:rPr>
      <w:sz w:val="16"/>
    </w:rPr>
  </w:style>
  <w:style w:type="paragraph" w:styleId="Brdtekst-frstelinjeindrykning1">
    <w:name w:val="Body Text First Indent"/>
    <w:basedOn w:val="Brdtekst"/>
    <w:semiHidden/>
    <w:pPr>
      <w:ind w:firstLine="210"/>
    </w:pPr>
  </w:style>
  <w:style w:type="paragraph" w:styleId="Brdtekstindrykning">
    <w:name w:val="Body Text Indent"/>
    <w:basedOn w:val="Normal"/>
    <w:semiHidden/>
    <w:pPr>
      <w:spacing w:after="120" w:line="240" w:lineRule="auto"/>
      <w:ind w:left="283"/>
    </w:pPr>
  </w:style>
  <w:style w:type="paragraph" w:styleId="Brdtekst-frstelinjeindrykning2">
    <w:name w:val="Body Text First Indent 2"/>
    <w:basedOn w:val="Brdtekstindrykning"/>
    <w:semiHidden/>
    <w:pPr>
      <w:ind w:firstLine="210"/>
    </w:pPr>
  </w:style>
  <w:style w:type="paragraph" w:styleId="Brdtekstindrykning2">
    <w:name w:val="Body Text Indent 2"/>
    <w:basedOn w:val="Normal"/>
    <w:semiHidden/>
    <w:pPr>
      <w:spacing w:after="120" w:line="480" w:lineRule="auto"/>
      <w:ind w:left="283"/>
    </w:pPr>
  </w:style>
  <w:style w:type="paragraph" w:styleId="Brdtekstindrykning3">
    <w:name w:val="Body Text Indent 3"/>
    <w:basedOn w:val="Normal"/>
    <w:semiHidden/>
    <w:pPr>
      <w:spacing w:after="120" w:line="240" w:lineRule="auto"/>
      <w:ind w:left="283"/>
    </w:pPr>
    <w:rPr>
      <w:sz w:val="16"/>
    </w:rPr>
  </w:style>
  <w:style w:type="paragraph" w:styleId="Billedtekst">
    <w:name w:val="caption"/>
    <w:basedOn w:val="Normal"/>
    <w:next w:val="Normal"/>
    <w:pPr>
      <w:spacing w:after="284" w:line="200" w:lineRule="atLeast"/>
      <w:contextualSpacing/>
    </w:pPr>
    <w:rPr>
      <w:b/>
      <w:color w:val="4F757D"/>
      <w:sz w:val="14"/>
    </w:rPr>
  </w:style>
  <w:style w:type="paragraph" w:styleId="Sluthilsen">
    <w:name w:val="Closing"/>
    <w:basedOn w:val="Normal"/>
    <w:semiHidden/>
    <w:pPr>
      <w:ind w:left="4252"/>
    </w:pPr>
  </w:style>
  <w:style w:type="paragraph" w:styleId="Dato">
    <w:name w:val="Date"/>
    <w:basedOn w:val="Normal"/>
    <w:next w:val="Normal"/>
    <w:semiHidden/>
  </w:style>
  <w:style w:type="paragraph" w:styleId="E-mail-signatur">
    <w:name w:val="E-mail Signature"/>
    <w:basedOn w:val="Normal"/>
    <w:semiHidden/>
  </w:style>
  <w:style w:type="paragraph" w:styleId="Slutnotetekst">
    <w:name w:val="endnote text"/>
    <w:basedOn w:val="Normal"/>
    <w:semiHidden/>
    <w:pPr>
      <w:spacing w:line="180" w:lineRule="atLeast"/>
    </w:pPr>
    <w:rPr>
      <w:sz w:val="14"/>
    </w:rPr>
  </w:style>
  <w:style w:type="paragraph" w:styleId="Modtageradresse">
    <w:name w:val="envelope address"/>
    <w:basedOn w:val="Normal"/>
    <w:semiHidden/>
    <w:pPr>
      <w:ind w:left="2880"/>
    </w:pPr>
    <w:rPr>
      <w:rFonts w:ascii="Arial" w:hAnsi="Arial"/>
      <w:sz w:val="24"/>
    </w:rPr>
  </w:style>
  <w:style w:type="paragraph" w:styleId="Afsenderadresse">
    <w:name w:val="envelope return"/>
    <w:basedOn w:val="Normal"/>
    <w:semiHidden/>
    <w:rPr>
      <w:rFonts w:ascii="Arial" w:hAnsi="Arial"/>
    </w:rPr>
  </w:style>
  <w:style w:type="paragraph" w:styleId="Fodnotetekst">
    <w:name w:val="footnote text"/>
    <w:basedOn w:val="Normal"/>
    <w:semiHidden/>
    <w:pPr>
      <w:spacing w:line="180" w:lineRule="atLeast"/>
    </w:pPr>
    <w:rPr>
      <w:sz w:val="14"/>
    </w:rPr>
  </w:style>
  <w:style w:type="paragraph" w:styleId="HTML-adresse">
    <w:name w:val="HTML Address"/>
    <w:basedOn w:val="Normal"/>
    <w:semiHidden/>
    <w:rPr>
      <w:i/>
    </w:rPr>
  </w:style>
  <w:style w:type="paragraph" w:styleId="FormateretHTML">
    <w:name w:val="HTML Preformatted"/>
    <w:basedOn w:val="Normal"/>
    <w:semiHidden/>
    <w:rPr>
      <w:rFonts w:ascii="Courier New" w:hAnsi="Courier New"/>
    </w:rPr>
  </w:style>
  <w:style w:type="paragraph" w:styleId="Opstilling">
    <w:name w:val="List"/>
    <w:basedOn w:val="Normal"/>
    <w:semiHidden/>
    <w:pPr>
      <w:ind w:left="283" w:hanging="283"/>
    </w:pPr>
  </w:style>
  <w:style w:type="paragraph" w:styleId="Opstilling2">
    <w:name w:val="List 2"/>
    <w:basedOn w:val="Normal"/>
    <w:semiHidden/>
    <w:pPr>
      <w:ind w:left="566" w:hanging="283"/>
    </w:pPr>
  </w:style>
  <w:style w:type="paragraph" w:styleId="Opstilling3">
    <w:name w:val="List 3"/>
    <w:basedOn w:val="Normal"/>
    <w:semiHidden/>
    <w:pPr>
      <w:ind w:left="849" w:hanging="283"/>
    </w:pPr>
  </w:style>
  <w:style w:type="paragraph" w:styleId="Opstilling4">
    <w:name w:val="List 4"/>
    <w:basedOn w:val="Normal"/>
    <w:semiHidden/>
    <w:pPr>
      <w:ind w:left="1132" w:hanging="283"/>
    </w:pPr>
  </w:style>
  <w:style w:type="paragraph" w:styleId="Opstilling5">
    <w:name w:val="List 5"/>
    <w:basedOn w:val="Normal"/>
    <w:semiHidden/>
    <w:pPr>
      <w:ind w:left="1415" w:hanging="283"/>
    </w:pPr>
  </w:style>
  <w:style w:type="paragraph" w:styleId="Opstilling-punkttegn">
    <w:name w:val="List Bullet"/>
    <w:basedOn w:val="Normal"/>
    <w:pPr>
      <w:numPr>
        <w:numId w:val="14"/>
      </w:numPr>
    </w:pPr>
  </w:style>
  <w:style w:type="paragraph" w:styleId="Opstilling-punkttegn2">
    <w:name w:val="List Bullet 2"/>
    <w:basedOn w:val="Normal"/>
    <w:semiHidden/>
    <w:pPr>
      <w:numPr>
        <w:numId w:val="5"/>
      </w:numPr>
    </w:pPr>
  </w:style>
  <w:style w:type="paragraph" w:styleId="Opstilling-punkttegn3">
    <w:name w:val="List Bullet 3"/>
    <w:basedOn w:val="Normal"/>
    <w:semiHidden/>
    <w:pPr>
      <w:numPr>
        <w:numId w:val="6"/>
      </w:numPr>
    </w:pPr>
  </w:style>
  <w:style w:type="paragraph" w:styleId="Opstilling-punkttegn4">
    <w:name w:val="List Bullet 4"/>
    <w:basedOn w:val="Normal"/>
    <w:semiHidden/>
    <w:pPr>
      <w:numPr>
        <w:numId w:val="7"/>
      </w:numPr>
    </w:pPr>
  </w:style>
  <w:style w:type="paragraph" w:styleId="Opstilling-punkttegn5">
    <w:name w:val="List Bullet 5"/>
    <w:basedOn w:val="Normal"/>
    <w:semiHidden/>
    <w:pPr>
      <w:numPr>
        <w:numId w:val="8"/>
      </w:numPr>
    </w:pPr>
  </w:style>
  <w:style w:type="paragraph" w:styleId="Opstilling-forts">
    <w:name w:val="List Continue"/>
    <w:basedOn w:val="Normal"/>
    <w:semiHidden/>
    <w:pPr>
      <w:spacing w:after="120" w:line="240" w:lineRule="auto"/>
      <w:ind w:left="283"/>
    </w:pPr>
  </w:style>
  <w:style w:type="paragraph" w:styleId="Opstilling-forts2">
    <w:name w:val="List Continue 2"/>
    <w:basedOn w:val="Normal"/>
    <w:semiHidden/>
    <w:pPr>
      <w:spacing w:after="120" w:line="240" w:lineRule="auto"/>
      <w:ind w:left="566"/>
    </w:pPr>
  </w:style>
  <w:style w:type="paragraph" w:styleId="Opstilling-forts3">
    <w:name w:val="List Continue 3"/>
    <w:basedOn w:val="Normal"/>
    <w:semiHidden/>
    <w:pPr>
      <w:spacing w:after="120" w:line="240" w:lineRule="auto"/>
      <w:ind w:left="849"/>
    </w:pPr>
  </w:style>
  <w:style w:type="paragraph" w:styleId="Opstilling-forts4">
    <w:name w:val="List Continue 4"/>
    <w:basedOn w:val="Normal"/>
    <w:semiHidden/>
    <w:pPr>
      <w:spacing w:after="120" w:line="240" w:lineRule="auto"/>
      <w:ind w:left="1132"/>
    </w:pPr>
  </w:style>
  <w:style w:type="paragraph" w:styleId="Opstilling-forts5">
    <w:name w:val="List Continue 5"/>
    <w:basedOn w:val="Normal"/>
    <w:semiHidden/>
    <w:pPr>
      <w:spacing w:after="120" w:line="240" w:lineRule="auto"/>
      <w:ind w:left="1415"/>
    </w:pPr>
  </w:style>
  <w:style w:type="paragraph" w:styleId="Opstilling-talellerbogst">
    <w:name w:val="List Number"/>
    <w:basedOn w:val="Normal"/>
    <w:pPr>
      <w:numPr>
        <w:numId w:val="15"/>
      </w:numPr>
    </w:pPr>
  </w:style>
  <w:style w:type="paragraph" w:styleId="Opstilling-talellerbogst2">
    <w:name w:val="List Number 2"/>
    <w:basedOn w:val="Normal"/>
    <w:semiHidden/>
    <w:pPr>
      <w:numPr>
        <w:numId w:val="10"/>
      </w:numPr>
    </w:pPr>
  </w:style>
  <w:style w:type="paragraph" w:styleId="Opstilling-talellerbogst3">
    <w:name w:val="List Number 3"/>
    <w:basedOn w:val="Normal"/>
    <w:semiHidden/>
    <w:pPr>
      <w:numPr>
        <w:numId w:val="11"/>
      </w:numPr>
    </w:pPr>
  </w:style>
  <w:style w:type="paragraph" w:styleId="Opstilling-talellerbogst4">
    <w:name w:val="List Number 4"/>
    <w:basedOn w:val="Normal"/>
    <w:semiHidden/>
    <w:pPr>
      <w:numPr>
        <w:numId w:val="12"/>
      </w:numPr>
    </w:pPr>
  </w:style>
  <w:style w:type="paragraph" w:styleId="Opstilling-talellerbogst5">
    <w:name w:val="List Number 5"/>
    <w:basedOn w:val="Normal"/>
    <w:semiHidden/>
    <w:pPr>
      <w:numPr>
        <w:numId w:val="13"/>
      </w:numPr>
    </w:pPr>
  </w:style>
  <w:style w:type="paragraph" w:styleId="Brevhoved">
    <w:name w:val="Message Header"/>
    <w:basedOn w:val="Normal"/>
    <w:semiHidden/>
    <w:pPr>
      <w:ind w:left="1134" w:hanging="1134"/>
    </w:pPr>
    <w:rPr>
      <w:rFonts w:ascii="Arial" w:hAnsi="Arial"/>
      <w:sz w:val="24"/>
    </w:rPr>
  </w:style>
  <w:style w:type="paragraph" w:styleId="NormalWeb">
    <w:name w:val="Normal (Web)"/>
    <w:basedOn w:val="Normal"/>
    <w:uiPriority w:val="99"/>
    <w:semiHidden/>
    <w:rPr>
      <w:rFonts w:ascii="Times New Roman" w:hAnsi="Times New Roman"/>
      <w:sz w:val="24"/>
    </w:rPr>
  </w:style>
  <w:style w:type="paragraph" w:styleId="Normalindrykning">
    <w:name w:val="Normal Indent"/>
    <w:basedOn w:val="Normal"/>
    <w:semiHidden/>
    <w:pPr>
      <w:ind w:left="1304"/>
    </w:pPr>
  </w:style>
  <w:style w:type="paragraph" w:styleId="Noteoverskrift">
    <w:name w:val="Note Heading"/>
    <w:basedOn w:val="Normal"/>
    <w:next w:val="Normal"/>
    <w:semiHidden/>
  </w:style>
  <w:style w:type="paragraph" w:styleId="Almindeligtekst">
    <w:name w:val="Plain Text"/>
    <w:basedOn w:val="Normal"/>
    <w:semiHidden/>
    <w:rPr>
      <w:rFonts w:ascii="Courier New" w:hAnsi="Courier New"/>
    </w:rPr>
  </w:style>
  <w:style w:type="paragraph" w:styleId="Starthilsen">
    <w:name w:val="Salutation"/>
    <w:basedOn w:val="Normal"/>
    <w:next w:val="Normal"/>
    <w:semiHidden/>
  </w:style>
  <w:style w:type="paragraph" w:styleId="Underskrift">
    <w:name w:val="Signature"/>
    <w:basedOn w:val="Normal"/>
    <w:semiHidden/>
    <w:pPr>
      <w:ind w:left="4252"/>
    </w:pPr>
  </w:style>
  <w:style w:type="paragraph" w:styleId="Undertitel">
    <w:name w:val="Subtitle"/>
    <w:basedOn w:val="Normal"/>
    <w:semiHidden/>
    <w:pPr>
      <w:spacing w:after="60" w:line="240" w:lineRule="auto"/>
      <w:jc w:val="center"/>
    </w:pPr>
    <w:rPr>
      <w:sz w:val="24"/>
    </w:rPr>
  </w:style>
  <w:style w:type="paragraph" w:styleId="Titel">
    <w:name w:val="Title"/>
    <w:basedOn w:val="Normal"/>
    <w:semiHidden/>
    <w:pPr>
      <w:spacing w:before="240" w:after="60" w:line="240" w:lineRule="auto"/>
    </w:pPr>
    <w:rPr>
      <w:b/>
      <w:sz w:val="32"/>
    </w:rPr>
  </w:style>
  <w:style w:type="paragraph" w:styleId="Indholdsfortegnelse1">
    <w:name w:val="toc 1"/>
    <w:basedOn w:val="Normal"/>
    <w:next w:val="Normal"/>
    <w:uiPriority w:val="39"/>
    <w:pPr>
      <w:tabs>
        <w:tab w:val="left" w:pos="425"/>
        <w:tab w:val="right" w:leader="dot" w:pos="7938"/>
      </w:tabs>
      <w:spacing w:before="120" w:line="240" w:lineRule="auto"/>
      <w:ind w:left="425" w:right="567" w:hanging="425"/>
    </w:pPr>
    <w:rPr>
      <w:b/>
    </w:rPr>
  </w:style>
  <w:style w:type="paragraph" w:styleId="Indholdsfortegnelse2">
    <w:name w:val="toc 2"/>
    <w:basedOn w:val="Normal"/>
    <w:next w:val="Normal"/>
    <w:uiPriority w:val="39"/>
    <w:pPr>
      <w:tabs>
        <w:tab w:val="left" w:pos="851"/>
        <w:tab w:val="right" w:leader="dot" w:pos="7938"/>
      </w:tabs>
      <w:ind w:left="850" w:right="567" w:hanging="425"/>
    </w:pPr>
  </w:style>
  <w:style w:type="paragraph" w:styleId="Indholdsfortegnelse3">
    <w:name w:val="toc 3"/>
    <w:basedOn w:val="Normal"/>
    <w:next w:val="Normal"/>
    <w:uiPriority w:val="39"/>
    <w:pPr>
      <w:tabs>
        <w:tab w:val="left" w:pos="1559"/>
        <w:tab w:val="right" w:leader="dot" w:pos="7938"/>
      </w:tabs>
      <w:ind w:left="1560" w:right="567" w:hanging="709"/>
    </w:pPr>
  </w:style>
  <w:style w:type="paragraph" w:styleId="Indholdsfortegnelse4">
    <w:name w:val="toc 4"/>
    <w:basedOn w:val="Normal"/>
    <w:next w:val="Normal"/>
    <w:pPr>
      <w:tabs>
        <w:tab w:val="left" w:pos="992"/>
        <w:tab w:val="right" w:leader="dot" w:pos="7938"/>
      </w:tabs>
      <w:spacing w:before="120" w:line="240" w:lineRule="auto"/>
      <w:ind w:left="992" w:right="567" w:hanging="992"/>
    </w:pPr>
    <w:rPr>
      <w:b/>
    </w:rPr>
  </w:style>
  <w:style w:type="paragraph" w:styleId="Indholdsfortegnelse5">
    <w:name w:val="toc 5"/>
    <w:basedOn w:val="Normal"/>
    <w:next w:val="Normal"/>
    <w:semiHidden/>
    <w:pPr>
      <w:tabs>
        <w:tab w:val="right" w:pos="7655"/>
      </w:tabs>
      <w:ind w:left="1134" w:right="567"/>
    </w:pPr>
  </w:style>
  <w:style w:type="paragraph" w:styleId="Sidefod">
    <w:name w:val="footer"/>
    <w:basedOn w:val="Normal"/>
    <w:link w:val="SidefodTegn"/>
    <w:pPr>
      <w:tabs>
        <w:tab w:val="center" w:pos="4819"/>
        <w:tab w:val="right" w:pos="9638"/>
      </w:tabs>
    </w:pPr>
    <w:rPr>
      <w:sz w:val="16"/>
    </w:rPr>
  </w:style>
  <w:style w:type="paragraph" w:styleId="Sidehoved">
    <w:name w:val="header"/>
    <w:basedOn w:val="Normal"/>
    <w:semiHidden/>
    <w:pPr>
      <w:tabs>
        <w:tab w:val="center" w:pos="4819"/>
        <w:tab w:val="right" w:pos="9638"/>
      </w:tabs>
      <w:spacing w:line="180" w:lineRule="atLeast"/>
    </w:pPr>
    <w:rPr>
      <w:sz w:val="14"/>
    </w:rPr>
  </w:style>
  <w:style w:type="paragraph" w:customStyle="1" w:styleId="Normal-Punktliste">
    <w:name w:val="Normal - Punktliste"/>
    <w:basedOn w:val="Normal"/>
    <w:semiHidden/>
  </w:style>
  <w:style w:type="paragraph" w:styleId="Indholdsfortegnelse6">
    <w:name w:val="toc 6"/>
    <w:basedOn w:val="Normal"/>
    <w:next w:val="Normal"/>
    <w:semiHidden/>
    <w:pPr>
      <w:tabs>
        <w:tab w:val="right" w:pos="7655"/>
      </w:tabs>
      <w:ind w:left="2268" w:right="567" w:hanging="1134"/>
    </w:pPr>
  </w:style>
  <w:style w:type="paragraph" w:styleId="Indholdsfortegnelse7">
    <w:name w:val="toc 7"/>
    <w:basedOn w:val="Normal"/>
    <w:next w:val="Normal"/>
    <w:semiHidden/>
    <w:pPr>
      <w:tabs>
        <w:tab w:val="right" w:pos="7655"/>
      </w:tabs>
      <w:ind w:left="2268" w:right="567" w:hanging="1134"/>
    </w:pPr>
  </w:style>
  <w:style w:type="paragraph" w:styleId="Indholdsfortegnelse8">
    <w:name w:val="toc 8"/>
    <w:basedOn w:val="Normal"/>
    <w:next w:val="Normal"/>
    <w:semiHidden/>
    <w:pPr>
      <w:tabs>
        <w:tab w:val="right" w:pos="7655"/>
      </w:tabs>
      <w:ind w:left="2268" w:right="567" w:hanging="1134"/>
    </w:pPr>
  </w:style>
  <w:style w:type="paragraph" w:styleId="Indholdsfortegnelse9">
    <w:name w:val="toc 9"/>
    <w:basedOn w:val="Normal"/>
    <w:next w:val="Normal"/>
    <w:semiHidden/>
    <w:pPr>
      <w:tabs>
        <w:tab w:val="right" w:pos="7655"/>
      </w:tabs>
      <w:ind w:left="2268" w:right="567" w:hanging="1134"/>
    </w:pPr>
  </w:style>
  <w:style w:type="paragraph" w:customStyle="1" w:styleId="Normal-Nummerering">
    <w:name w:val="Normal - Nummerering"/>
    <w:basedOn w:val="Normal"/>
    <w:semiHidden/>
  </w:style>
  <w:style w:type="paragraph" w:customStyle="1" w:styleId="Normal-Tabeltekst">
    <w:name w:val="Normal - Tabel tekst"/>
    <w:basedOn w:val="Normal"/>
    <w:semiHidden/>
    <w:pPr>
      <w:spacing w:line="220" w:lineRule="atLeast"/>
    </w:pPr>
  </w:style>
  <w:style w:type="paragraph" w:customStyle="1" w:styleId="Normal-Tabeloverskrift">
    <w:name w:val="Normal - Tabel overskrift"/>
    <w:basedOn w:val="Normal"/>
    <w:semiHidden/>
    <w:rPr>
      <w:b/>
    </w:rPr>
  </w:style>
  <w:style w:type="paragraph" w:customStyle="1" w:styleId="Normal-Tabelkolonneoverskrift">
    <w:name w:val="Normal - Tabel kolonne overskrift"/>
    <w:basedOn w:val="Normal"/>
    <w:semiHidden/>
    <w:pPr>
      <w:spacing w:line="220" w:lineRule="atLeast"/>
    </w:pPr>
    <w:rPr>
      <w:b/>
    </w:rPr>
  </w:style>
  <w:style w:type="paragraph" w:customStyle="1" w:styleId="Normal-Tabelnumre">
    <w:name w:val="Normal - Tabel numre"/>
    <w:basedOn w:val="Normal-Tabeltekst"/>
    <w:semiHidden/>
    <w:pPr>
      <w:jc w:val="right"/>
    </w:pPr>
  </w:style>
  <w:style w:type="paragraph" w:customStyle="1" w:styleId="Normal-TabelnumreTotal">
    <w:name w:val="Normal - Tabel numre Total"/>
    <w:basedOn w:val="Normal-Tabelnumre"/>
    <w:semiHidden/>
    <w:rPr>
      <w:b/>
    </w:rPr>
  </w:style>
  <w:style w:type="paragraph" w:customStyle="1" w:styleId="Template">
    <w:name w:val="Template"/>
    <w:semiHidden/>
    <w:pPr>
      <w:spacing w:line="200" w:lineRule="atLeast"/>
    </w:pPr>
    <w:rPr>
      <w:rFonts w:ascii="Verdana" w:hAnsi="Verdana"/>
      <w:color w:val="646567"/>
      <w:sz w:val="16"/>
    </w:rPr>
  </w:style>
  <w:style w:type="paragraph" w:customStyle="1" w:styleId="Template-Virksomhedsnavn">
    <w:name w:val="Template - Virksomheds navn"/>
    <w:basedOn w:val="Template"/>
    <w:next w:val="Template-Adresse"/>
    <w:semiHidden/>
    <w:pPr>
      <w:spacing w:before="120" w:line="240" w:lineRule="atLeast"/>
      <w:ind w:left="856"/>
    </w:pPr>
    <w:rPr>
      <w:rFonts w:ascii="Georgia" w:hAnsi="Georgia"/>
      <w:b/>
      <w:color w:val="000000"/>
      <w:sz w:val="18"/>
    </w:rPr>
  </w:style>
  <w:style w:type="paragraph" w:customStyle="1" w:styleId="Template-Adresse">
    <w:name w:val="Template - Adresse"/>
    <w:basedOn w:val="Template"/>
    <w:semiHidden/>
    <w:pPr>
      <w:spacing w:line="240" w:lineRule="atLeast"/>
      <w:ind w:left="856"/>
    </w:pPr>
    <w:rPr>
      <w:rFonts w:ascii="Georgia" w:hAnsi="Georgia"/>
      <w:color w:val="000000"/>
      <w:sz w:val="18"/>
    </w:rPr>
  </w:style>
  <w:style w:type="paragraph" w:customStyle="1" w:styleId="Template-Dato">
    <w:name w:val="Template - Dato"/>
    <w:basedOn w:val="Template-Adresse"/>
    <w:semiHidden/>
  </w:style>
  <w:style w:type="paragraph" w:customStyle="1" w:styleId="Normal-Dokumentoverskrift">
    <w:name w:val="Normal - Dokument overskrift"/>
    <w:basedOn w:val="Normal"/>
    <w:semiHidden/>
    <w:rPr>
      <w:b/>
    </w:rPr>
  </w:style>
  <w:style w:type="paragraph" w:customStyle="1" w:styleId="Manchet">
    <w:name w:val="Manchet"/>
    <w:basedOn w:val="Normal"/>
    <w:semiHidden/>
    <w:pPr>
      <w:spacing w:line="300" w:lineRule="atLeast"/>
    </w:pPr>
    <w:rPr>
      <w:b/>
      <w:sz w:val="24"/>
    </w:rPr>
  </w:style>
  <w:style w:type="paragraph" w:styleId="Listeoverfigurer">
    <w:name w:val="table of figures"/>
    <w:basedOn w:val="Normal"/>
    <w:next w:val="Normal"/>
    <w:semiHidden/>
  </w:style>
  <w:style w:type="paragraph" w:customStyle="1" w:styleId="Normal-AfsenderNavn">
    <w:name w:val="Normal - Afsender Navn"/>
    <w:basedOn w:val="Normal"/>
    <w:next w:val="Normal"/>
    <w:semiHidden/>
    <w:pPr>
      <w:spacing w:line="200" w:lineRule="atLeast"/>
    </w:pPr>
    <w:rPr>
      <w:rFonts w:ascii="Arial" w:hAnsi="Arial"/>
      <w:b/>
      <w:sz w:val="16"/>
    </w:rPr>
  </w:style>
  <w:style w:type="paragraph" w:customStyle="1" w:styleId="Normal-Forfatter">
    <w:name w:val="Normal - Forfatter"/>
    <w:basedOn w:val="Normal"/>
    <w:semiHidden/>
    <w:rPr>
      <w:color w:val="4F757D"/>
    </w:rPr>
  </w:style>
  <w:style w:type="paragraph" w:customStyle="1" w:styleId="Normal-Faktarubrik">
    <w:name w:val="Normal - Faktarubrik"/>
    <w:basedOn w:val="Normal"/>
    <w:next w:val="Normal-Faktatekst"/>
    <w:semiHidden/>
    <w:pPr>
      <w:spacing w:line="380" w:lineRule="atLeast"/>
    </w:pPr>
    <w:rPr>
      <w:b/>
      <w:color w:val="FFFFFF"/>
      <w:sz w:val="30"/>
    </w:rPr>
  </w:style>
  <w:style w:type="paragraph" w:customStyle="1" w:styleId="Normal-Faktatekst">
    <w:name w:val="Normal - Faktatekst"/>
    <w:basedOn w:val="Normal"/>
    <w:semiHidden/>
    <w:rPr>
      <w:color w:val="4F757D"/>
    </w:rPr>
  </w:style>
  <w:style w:type="paragraph" w:customStyle="1" w:styleId="ForsideOverskrift">
    <w:name w:val="Forside Overskrift"/>
    <w:basedOn w:val="Normal"/>
    <w:next w:val="ForsideUnderoverskrift"/>
    <w:semiHidden/>
    <w:pPr>
      <w:spacing w:line="600" w:lineRule="atLeast"/>
    </w:pPr>
    <w:rPr>
      <w:sz w:val="60"/>
    </w:rPr>
  </w:style>
  <w:style w:type="paragraph" w:customStyle="1" w:styleId="ForsideUnderoverskrift">
    <w:name w:val="Forside Underoverskrift"/>
    <w:basedOn w:val="Normal"/>
    <w:semiHidden/>
    <w:pPr>
      <w:spacing w:line="340" w:lineRule="atLeast"/>
    </w:pPr>
    <w:rPr>
      <w:sz w:val="28"/>
    </w:rPr>
  </w:style>
  <w:style w:type="paragraph" w:customStyle="1" w:styleId="MarginNotetekst">
    <w:name w:val="Margin Note tekst"/>
    <w:basedOn w:val="Normal"/>
    <w:semiHidden/>
    <w:pPr>
      <w:spacing w:before="40" w:line="200" w:lineRule="atLeast"/>
    </w:pPr>
    <w:rPr>
      <w:color w:val="4F757D"/>
      <w:sz w:val="14"/>
    </w:rPr>
  </w:style>
  <w:style w:type="paragraph" w:customStyle="1" w:styleId="Graftekst">
    <w:name w:val="Graf tekst"/>
    <w:basedOn w:val="Normal"/>
    <w:semiHidden/>
    <w:pPr>
      <w:ind w:left="-113"/>
    </w:pPr>
    <w:rPr>
      <w:color w:val="4F757D"/>
    </w:rPr>
  </w:style>
  <w:style w:type="paragraph" w:customStyle="1" w:styleId="Figurtekst">
    <w:name w:val="Figur tekst"/>
    <w:basedOn w:val="Graftekst"/>
    <w:semiHidden/>
    <w:pPr>
      <w:spacing w:line="180" w:lineRule="atLeast"/>
      <w:ind w:left="0"/>
    </w:pPr>
    <w:rPr>
      <w:caps/>
      <w:sz w:val="14"/>
    </w:rPr>
  </w:style>
  <w:style w:type="paragraph" w:customStyle="1" w:styleId="FigurCaption">
    <w:name w:val="Figur Caption"/>
    <w:basedOn w:val="Figurtekst"/>
    <w:semiHidden/>
    <w:rPr>
      <w:b/>
    </w:rPr>
  </w:style>
  <w:style w:type="paragraph" w:customStyle="1" w:styleId="Kolofonoverskrift">
    <w:name w:val="Kolofon overskrift"/>
    <w:basedOn w:val="Normal"/>
    <w:semiHidden/>
    <w:rPr>
      <w:b/>
      <w:sz w:val="24"/>
    </w:rPr>
  </w:style>
  <w:style w:type="paragraph" w:customStyle="1" w:styleId="KolofonLedetekst">
    <w:name w:val="Kolofon Ledetekst"/>
    <w:basedOn w:val="Normal"/>
    <w:next w:val="Kolofontekst"/>
    <w:semiHidden/>
    <w:pPr>
      <w:spacing w:before="260" w:after="120" w:line="240" w:lineRule="auto"/>
    </w:pPr>
    <w:rPr>
      <w:b/>
    </w:rPr>
  </w:style>
  <w:style w:type="paragraph" w:customStyle="1" w:styleId="Kolofontekst">
    <w:name w:val="Kolofon tekst"/>
    <w:basedOn w:val="Normal"/>
    <w:semiHidden/>
  </w:style>
  <w:style w:type="paragraph" w:styleId="Overskrift">
    <w:name w:val="TOC Heading"/>
    <w:basedOn w:val="Normal"/>
    <w:semiHidden/>
    <w:pPr>
      <w:spacing w:line="720" w:lineRule="atLeast"/>
    </w:pPr>
    <w:rPr>
      <w:b/>
      <w:sz w:val="60"/>
    </w:rPr>
  </w:style>
  <w:style w:type="paragraph" w:customStyle="1" w:styleId="Bilagsoverskrift">
    <w:name w:val="Bilags overskrift"/>
    <w:basedOn w:val="Normal"/>
    <w:next w:val="Normal"/>
    <w:pPr>
      <w:keepNext/>
      <w:pageBreakBefore/>
      <w:numPr>
        <w:numId w:val="19"/>
      </w:numPr>
      <w:spacing w:after="520" w:line="240" w:lineRule="auto"/>
      <w:contextualSpacing/>
    </w:pPr>
    <w:rPr>
      <w:b/>
      <w:sz w:val="20"/>
    </w:rPr>
  </w:style>
  <w:style w:type="paragraph" w:customStyle="1" w:styleId="Bagsideoverskrift">
    <w:name w:val="Bagside overskrift"/>
    <w:basedOn w:val="Normal"/>
    <w:next w:val="Normal"/>
    <w:semiHidden/>
    <w:rPr>
      <w:b/>
    </w:rPr>
  </w:style>
  <w:style w:type="paragraph" w:customStyle="1" w:styleId="Heading1-Udennr">
    <w:name w:val="Heading 1 - Uden nr"/>
    <w:basedOn w:val="Overskrift1"/>
    <w:next w:val="Normal"/>
  </w:style>
  <w:style w:type="paragraph" w:customStyle="1" w:styleId="FooterOdd">
    <w:name w:val="Footer Odd"/>
    <w:basedOn w:val="Sidefod"/>
    <w:link w:val="FooterOddChar"/>
    <w:semiHidden/>
    <w:pPr>
      <w:tabs>
        <w:tab w:val="clear" w:pos="4819"/>
      </w:tabs>
      <w:jc w:val="right"/>
    </w:pPr>
  </w:style>
  <w:style w:type="paragraph" w:styleId="Markeringsbobletekst">
    <w:name w:val="Balloon Text"/>
    <w:basedOn w:val="Normal"/>
    <w:link w:val="MarkeringsbobletekstTegn"/>
    <w:semiHidden/>
    <w:pPr>
      <w:spacing w:line="240" w:lineRule="auto"/>
    </w:pPr>
    <w:rPr>
      <w:rFonts w:ascii="Tahoma" w:hAnsi="Tahoma"/>
      <w:sz w:val="16"/>
    </w:rPr>
  </w:style>
  <w:style w:type="character" w:styleId="Linjenummer">
    <w:name w:val="line number"/>
    <w:basedOn w:val="Standardskrifttypeiafsnit"/>
    <w:semiHidden/>
  </w:style>
  <w:style w:type="character" w:styleId="Hyperlink">
    <w:name w:val="Hyperlink"/>
    <w:uiPriority w:val="99"/>
    <w:rPr>
      <w:color w:val="0000FF"/>
      <w:u w:val="single"/>
    </w:rPr>
  </w:style>
  <w:style w:type="character" w:styleId="Fremhv">
    <w:name w:val="Emphasis"/>
    <w:semiHidden/>
    <w:rPr>
      <w:i/>
    </w:rPr>
  </w:style>
  <w:style w:type="character" w:styleId="Slutnotehenvisning">
    <w:name w:val="endnote reference"/>
    <w:semiHidden/>
    <w:rPr>
      <w:vertAlign w:val="superscript"/>
    </w:rPr>
  </w:style>
  <w:style w:type="character" w:styleId="Fodnotehenvisning">
    <w:name w:val="footnote reference"/>
    <w:semiHidden/>
    <w:rPr>
      <w:vertAlign w:val="superscript"/>
    </w:rPr>
  </w:style>
  <w:style w:type="character" w:styleId="HTML-akronym">
    <w:name w:val="HTML Acronym"/>
    <w:basedOn w:val="Standardskrifttypeiafsnit"/>
    <w:semiHidden/>
  </w:style>
  <w:style w:type="character" w:styleId="HTML-citat">
    <w:name w:val="HTML Cite"/>
    <w:semiHidden/>
    <w:rPr>
      <w:i/>
    </w:rPr>
  </w:style>
  <w:style w:type="character" w:styleId="HTML-kode">
    <w:name w:val="HTML Code"/>
    <w:semiHidden/>
    <w:rPr>
      <w:rFonts w:ascii="Courier New" w:hAnsi="Courier New"/>
      <w:sz w:val="20"/>
    </w:rPr>
  </w:style>
  <w:style w:type="character" w:styleId="HTML-definition">
    <w:name w:val="HTML Definition"/>
    <w:semiHidden/>
    <w:rPr>
      <w:i/>
    </w:rPr>
  </w:style>
  <w:style w:type="character" w:styleId="HTML-tastatur">
    <w:name w:val="HTML Keyboard"/>
    <w:semiHidden/>
    <w:rPr>
      <w:rFonts w:ascii="Courier New" w:hAnsi="Courier New"/>
      <w:sz w:val="20"/>
    </w:rPr>
  </w:style>
  <w:style w:type="character" w:styleId="HTML-eksempel">
    <w:name w:val="HTML Sample"/>
    <w:semiHidden/>
    <w:rPr>
      <w:rFonts w:ascii="Courier New" w:hAnsi="Courier New"/>
    </w:rPr>
  </w:style>
  <w:style w:type="character" w:styleId="HTML-skrivemaskine">
    <w:name w:val="HTML Typewriter"/>
    <w:semiHidden/>
    <w:rPr>
      <w:rFonts w:ascii="Courier New" w:hAnsi="Courier New"/>
      <w:sz w:val="20"/>
    </w:rPr>
  </w:style>
  <w:style w:type="character" w:styleId="HTML-variabel">
    <w:name w:val="HTML Variable"/>
    <w:semiHidden/>
    <w:rPr>
      <w:i/>
    </w:rPr>
  </w:style>
  <w:style w:type="character" w:styleId="Strk">
    <w:name w:val="Strong"/>
    <w:semiHidden/>
    <w:rPr>
      <w:b/>
    </w:rPr>
  </w:style>
  <w:style w:type="character" w:styleId="BesgtHyperlink">
    <w:name w:val="FollowedHyperlink"/>
    <w:semiHidden/>
    <w:rPr>
      <w:color w:val="800080"/>
      <w:u w:val="single"/>
    </w:rPr>
  </w:style>
  <w:style w:type="character" w:styleId="Sidetal">
    <w:name w:val="page number"/>
    <w:semiHidden/>
    <w:rPr>
      <w:rFonts w:ascii="Georgia" w:hAnsi="Georgia"/>
      <w:sz w:val="16"/>
    </w:rPr>
  </w:style>
  <w:style w:type="character" w:customStyle="1" w:styleId="SidefodTegn">
    <w:name w:val="Sidefod Tegn"/>
    <w:link w:val="Sidefod"/>
    <w:rPr>
      <w:sz w:val="16"/>
    </w:rPr>
  </w:style>
  <w:style w:type="character" w:customStyle="1" w:styleId="FooterOddChar">
    <w:name w:val="Footer Odd Char"/>
    <w:link w:val="FooterOdd"/>
    <w:semiHidden/>
  </w:style>
  <w:style w:type="character" w:customStyle="1" w:styleId="MarkeringsbobletekstTegn">
    <w:name w:val="Markeringsbobletekst Tegn"/>
    <w:basedOn w:val="Standardskrifttypeiafsnit"/>
    <w:link w:val="Markeringsbobletekst"/>
    <w:semiHidden/>
    <w:rPr>
      <w:rFonts w:ascii="Tahoma" w:hAnsi="Tahoma"/>
      <w:sz w:val="16"/>
    </w:rPr>
  </w:style>
  <w:style w:type="table" w:styleId="Tabel-Enkelt1">
    <w:name w:val="Table Simple 1"/>
    <w:basedOn w:val="Tabel-Normal"/>
    <w:semiHidden/>
    <w:tblPr>
      <w:tblBorders>
        <w:top w:val="single" w:sz="12" w:space="0" w:color="008000"/>
        <w:bottom w:val="single" w:sz="12" w:space="0" w:color="008000"/>
      </w:tblBorders>
    </w:tbl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el-3D-effekter1">
    <w:name w:val="Table 3D effects 1"/>
    <w:basedOn w:val="Tabel-Normal"/>
    <w:semiHidden/>
    <w:tblPr/>
    <w:tblStylePr w:type="firstRow">
      <w:rPr>
        <w:b/>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el-3D-effekter2">
    <w:name w:val="Table 3D effects 2"/>
    <w:basedOn w:val="Tabel-Normal"/>
    <w:semiHidden/>
    <w:tblPr>
      <w:tblStyleRowBandSize w:val="1"/>
    </w:tblPr>
    <w:tblStylePr w:type="firstRow">
      <w:rPr>
        <w:b/>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rPr>
      <w:tblPr/>
      <w:tcPr>
        <w:tcBorders>
          <w:tl2br w:val="nil"/>
          <w:tr2bl w:val="nil"/>
        </w:tcBorders>
      </w:tcPr>
    </w:tblStylePr>
  </w:style>
  <w:style w:type="table" w:styleId="Tabel-3D-effekter3">
    <w:name w:val="Table 3D effects 3"/>
    <w:basedOn w:val="Tabel-Normal"/>
    <w:semiHidden/>
    <w:tblPr>
      <w:tblStyleRowBandSize w:val="1"/>
      <w:tblStyleColBandSize w:val="1"/>
    </w:tblPr>
    <w:tblStylePr w:type="firstRow">
      <w:rPr>
        <w:b/>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000000"/>
      </w:rPr>
    </w:tblStylePr>
    <w:tblStylePr w:type="band2Vert">
      <w:rPr>
        <w:color w:val="000000"/>
      </w:rPr>
    </w:tblStylePr>
    <w:tblStylePr w:type="band1Horz">
      <w:tblPr/>
      <w:tcPr>
        <w:tcBorders>
          <w:top w:val="single" w:sz="6" w:space="0" w:color="808080"/>
          <w:bottom w:val="single" w:sz="6" w:space="0" w:color="FFFFFF"/>
          <w:tl2br w:val="nil"/>
          <w:tr2bl w:val="nil"/>
        </w:tcBorders>
      </w:tcPr>
    </w:tblStylePr>
    <w:tblStylePr w:type="swCell">
      <w:rPr>
        <w:b/>
      </w:rPr>
      <w:tblPr/>
      <w:tcPr>
        <w:tcBorders>
          <w:tl2br w:val="nil"/>
          <w:tr2bl w:val="nil"/>
        </w:tcBorders>
      </w:tcPr>
    </w:tblStylePr>
  </w:style>
  <w:style w:type="table" w:styleId="Tabel-Klassisk1">
    <w:name w:val="Table Classic 1"/>
    <w:basedOn w:val="Tabel-Normal"/>
    <w:semiHidden/>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styleId="Tabel-Klassisk2">
    <w:name w:val="Table Classic 2"/>
    <w:basedOn w:val="Tabel-Normal"/>
    <w:semiHidden/>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tcPr>
    </w:tblStylePr>
    <w:tblStylePr w:type="lastRow">
      <w:tblPr/>
      <w:tcPr>
        <w:tcBorders>
          <w:top w:val="single" w:sz="6" w:space="0" w:color="000000"/>
          <w:tl2br w:val="nil"/>
          <w:tr2bl w:val="nil"/>
        </w:tcBorders>
      </w:tcPr>
    </w:tblStylePr>
    <w:tblStylePr w:type="firstCol">
      <w:rPr>
        <w:b/>
      </w:rPr>
      <w:tblPr/>
      <w:tcPr>
        <w:tcBorders>
          <w:tl2br w:val="nil"/>
          <w:tr2bl w:val="nil"/>
        </w:tcBorders>
      </w:tcPr>
    </w:tblStylePr>
    <w:tblStylePr w:type="neCell">
      <w:rPr>
        <w:b/>
      </w:rPr>
      <w:tblPr/>
      <w:tcPr>
        <w:tcBorders>
          <w:tl2br w:val="nil"/>
          <w:tr2bl w:val="nil"/>
        </w:tcBorders>
      </w:tcPr>
    </w:tblStylePr>
    <w:tblStylePr w:type="nwCell">
      <w:tblPr/>
      <w:tcPr>
        <w:tcBorders>
          <w:tl2br w:val="nil"/>
          <w:tr2bl w:val="nil"/>
        </w:tcBorders>
      </w:tcPr>
    </w:tblStylePr>
    <w:tblStylePr w:type="swCell">
      <w:rPr>
        <w:color w:val="000080"/>
      </w:rPr>
      <w:tblPr/>
      <w:tcPr>
        <w:tcBorders>
          <w:tl2br w:val="nil"/>
          <w:tr2bl w:val="nil"/>
        </w:tcBorders>
      </w:tcPr>
    </w:tblStylePr>
  </w:style>
  <w:style w:type="table" w:styleId="Tabel-Klassisk3">
    <w:name w:val="Table Classic 3"/>
    <w:basedOn w:val="Tabel-Normal"/>
    <w:semiHidden/>
    <w:rPr>
      <w:color w:val="000080"/>
    </w:rPr>
    <w:tblPr>
      <w:tblBorders>
        <w:top w:val="single" w:sz="12" w:space="0" w:color="000000"/>
        <w:left w:val="single" w:sz="12" w:space="0" w:color="000000"/>
        <w:bottom w:val="single" w:sz="12" w:space="0" w:color="000000"/>
        <w:right w:val="single" w:sz="12" w:space="0" w:color="000000"/>
      </w:tblBorders>
    </w:tblPr>
    <w:tblStylePr w:type="firstRow">
      <w:rPr>
        <w:b/>
        <w:i/>
        <w:color w:val="FFFFFF"/>
      </w:rPr>
      <w:tblPr/>
      <w:tcPr>
        <w:tcBorders>
          <w:bottom w:val="single" w:sz="6" w:space="0" w:color="000000"/>
          <w:tl2br w:val="nil"/>
          <w:tr2bl w:val="nil"/>
        </w:tcBorders>
      </w:tcPr>
    </w:tblStylePr>
    <w:tblStylePr w:type="lastRow">
      <w:rPr>
        <w:color w:val="000080"/>
      </w:rPr>
      <w:tblPr/>
      <w:tcPr>
        <w:tcBorders>
          <w:top w:val="single" w:sz="12" w:space="0" w:color="000000"/>
          <w:tl2br w:val="nil"/>
          <w:tr2bl w:val="nil"/>
        </w:tcBorders>
      </w:tcPr>
    </w:tblStylePr>
    <w:tblStylePr w:type="firstCol">
      <w:rPr>
        <w:b/>
        <w:color w:val="000000"/>
      </w:rPr>
      <w:tblPr/>
      <w:tcPr>
        <w:tcBorders>
          <w:tl2br w:val="nil"/>
          <w:tr2bl w:val="nil"/>
        </w:tcBorders>
      </w:tcPr>
    </w:tblStylePr>
  </w:style>
  <w:style w:type="table" w:styleId="Tabel-Klassisk4">
    <w:name w:val="Table Classic 4"/>
    <w:basedOn w:val="Tabel-Normal"/>
    <w:semiHidden/>
    <w:tblPr>
      <w:tblBorders>
        <w:top w:val="single" w:sz="12" w:space="0" w:color="000000"/>
        <w:left w:val="single" w:sz="6" w:space="0" w:color="000000"/>
        <w:bottom w:val="single" w:sz="12" w:space="0" w:color="000000"/>
        <w:right w:val="single" w:sz="6" w:space="0" w:color="000000"/>
      </w:tblBorders>
    </w:tblPr>
    <w:tblStylePr w:type="firstRow">
      <w:rPr>
        <w:b/>
        <w:i/>
        <w:color w:val="FFFFFF"/>
      </w:rPr>
      <w:tblPr/>
      <w:tcPr>
        <w:tcBorders>
          <w:bottom w:val="single" w:sz="6" w:space="0" w:color="000000"/>
          <w:tl2br w:val="nil"/>
          <w:tr2bl w:val="nil"/>
        </w:tcBorders>
      </w:tcPr>
    </w:tblStylePr>
    <w:tblStylePr w:type="lastRow">
      <w:rPr>
        <w:color w:val="000080"/>
      </w:rPr>
      <w:tblPr/>
      <w:tcPr>
        <w:tcBorders>
          <w:bottom w:val="single" w:sz="6" w:space="0" w:color="000000"/>
          <w:tl2br w:val="nil"/>
          <w:tr2bl w:val="nil"/>
        </w:tcBorders>
      </w:tcPr>
    </w:tblStylePr>
    <w:tblStylePr w:type="firstCol">
      <w:rPr>
        <w:b/>
      </w:rPr>
      <w:tblPr/>
      <w:tcPr>
        <w:tcBorders>
          <w:tl2br w:val="nil"/>
          <w:tr2bl w:val="nil"/>
        </w:tcBorders>
      </w:tcPr>
    </w:tblStylePr>
    <w:tblStylePr w:type="nwCell">
      <w:rPr>
        <w:b/>
      </w:rPr>
      <w:tblPr/>
      <w:tcPr>
        <w:tcBorders>
          <w:tl2br w:val="nil"/>
          <w:tr2bl w:val="nil"/>
        </w:tcBorders>
      </w:tcPr>
    </w:tblStylePr>
    <w:tblStylePr w:type="swCell">
      <w:rPr>
        <w:color w:val="000080"/>
      </w:rPr>
      <w:tblPr/>
      <w:tcPr>
        <w:tcBorders>
          <w:tl2br w:val="nil"/>
          <w:tr2bl w:val="nil"/>
        </w:tcBorders>
      </w:tcPr>
    </w:tblStylePr>
  </w:style>
  <w:style w:type="table" w:styleId="Tabel-Farvet1">
    <w:name w:val="Table Colorful 1"/>
    <w:basedOn w:val="Tabel-Normal"/>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blStylePr w:type="firstRow">
      <w:rPr>
        <w:b/>
        <w:i/>
      </w:rPr>
      <w:tblPr/>
      <w:tcPr>
        <w:tcBorders>
          <w:tl2br w:val="nil"/>
          <w:tr2bl w:val="nil"/>
        </w:tcBorders>
      </w:tcPr>
    </w:tblStylePr>
    <w:tblStylePr w:type="firstCol">
      <w:rPr>
        <w:b/>
        <w:i/>
      </w:rPr>
      <w:tblPr/>
      <w:tcPr>
        <w:tcBorders>
          <w:tl2br w:val="nil"/>
          <w:tr2bl w:val="nil"/>
        </w:tcBorders>
      </w:tcPr>
    </w:tblStylePr>
    <w:tblStylePr w:type="nwCell">
      <w:tblPr/>
      <w:tcPr>
        <w:tcBorders>
          <w:tl2br w:val="nil"/>
          <w:tr2bl w:val="nil"/>
        </w:tcBorders>
      </w:tcPr>
    </w:tblStylePr>
    <w:tblStylePr w:type="swCell">
      <w:rPr>
        <w:b/>
        <w:i w:val="0"/>
      </w:rPr>
      <w:tblPr/>
      <w:tcPr>
        <w:tcBorders>
          <w:tl2br w:val="nil"/>
          <w:tr2bl w:val="nil"/>
        </w:tcBorders>
      </w:tcPr>
    </w:tblStylePr>
  </w:style>
  <w:style w:type="table" w:styleId="Tabel-Farvet2">
    <w:name w:val="Table Colorful 2"/>
    <w:basedOn w:val="Tabel-Normal"/>
    <w:semiHidden/>
    <w:tblPr>
      <w:tblBorders>
        <w:bottom w:val="single" w:sz="12" w:space="0" w:color="000000"/>
      </w:tblBorders>
    </w:tblPr>
    <w:tblStylePr w:type="firstRow">
      <w:rPr>
        <w:b/>
        <w:i/>
        <w:color w:val="FFFFFF"/>
      </w:rPr>
      <w:tblPr/>
      <w:tcPr>
        <w:tcBorders>
          <w:bottom w:val="single" w:sz="12" w:space="0" w:color="000000"/>
          <w:tl2br w:val="nil"/>
          <w:tr2bl w:val="nil"/>
        </w:tcBorders>
      </w:tcPr>
    </w:tblStylePr>
    <w:tblStylePr w:type="firstCol">
      <w:rPr>
        <w:b/>
        <w:i/>
      </w:rPr>
      <w:tblPr/>
      <w:tcPr>
        <w:tcBorders>
          <w:tl2br w:val="nil"/>
          <w:tr2bl w:val="nil"/>
        </w:tcBorders>
      </w:tcPr>
    </w:tblStylePr>
    <w:tblStylePr w:type="lastCol">
      <w:tblPr/>
      <w:tcPr>
        <w:tcBorders>
          <w:tl2br w:val="nil"/>
          <w:tr2bl w:val="nil"/>
        </w:tcBorders>
      </w:tcPr>
    </w:tblStylePr>
    <w:tblStylePr w:type="swCell">
      <w:rPr>
        <w:b/>
        <w:i w:val="0"/>
      </w:rPr>
      <w:tblPr/>
      <w:tcPr>
        <w:tcBorders>
          <w:tl2br w:val="nil"/>
          <w:tr2bl w:val="nil"/>
        </w:tcBorders>
      </w:tcPr>
    </w:tblStylePr>
  </w:style>
  <w:style w:type="table" w:styleId="Tabel-Farvet3">
    <w:name w:val="Table Colorful 3"/>
    <w:basedOn w:val="Tabel-Normal"/>
    <w:semiHidden/>
    <w:tblPr>
      <w:tblBorders>
        <w:top w:val="single" w:sz="18" w:space="0" w:color="000000"/>
        <w:left w:val="single" w:sz="18" w:space="0" w:color="000000"/>
        <w:bottom w:val="single" w:sz="18" w:space="0" w:color="000000"/>
        <w:right w:val="single" w:sz="18" w:space="0" w:color="000000"/>
        <w:insideH w:val="single" w:sz="6" w:space="0" w:color="C0C0C0"/>
      </w:tblBorders>
    </w:tblPr>
    <w:tblStylePr w:type="firstRow">
      <w:tblPr/>
      <w:tcPr>
        <w:tcBorders>
          <w:bottom w:val="single" w:sz="6" w:space="0" w:color="000000"/>
          <w:tl2br w:val="nil"/>
          <w:tr2bl w:val="nil"/>
        </w:tcBorders>
      </w:tcPr>
    </w:tblStylePr>
    <w:tblStylePr w:type="firstCol">
      <w:tblPr/>
      <w:tcPr>
        <w:tcBorders>
          <w:left w:val="single" w:sz="36" w:space="0" w:color="000000"/>
          <w:right w:val="single" w:sz="6" w:space="0" w:color="000000"/>
          <w:tl2br w:val="nil"/>
          <w:tr2bl w:val="nil"/>
        </w:tcBorders>
      </w:tcPr>
    </w:tblStylePr>
    <w:tblStylePr w:type="nwCell">
      <w:rPr>
        <w:b/>
        <w:color w:val="FFFFFF"/>
      </w:rPr>
      <w:tblPr/>
      <w:tcPr>
        <w:tcBorders>
          <w:tl2br w:val="nil"/>
          <w:tr2bl w:val="nil"/>
        </w:tcBorders>
      </w:tcPr>
    </w:tblStylePr>
  </w:style>
  <w:style w:type="table" w:styleId="Tabel-Kolonner1">
    <w:name w:val="Table Columns 1"/>
    <w:basedOn w:val="Tabel-Normal"/>
    <w:semiHidden/>
    <w:rPr>
      <w: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rPr>
      <w:tblPr/>
      <w:tcPr>
        <w:tcBorders>
          <w:bottom w:val="double" w:sz="6" w:space="0" w:color="000000"/>
          <w:tl2br w:val="nil"/>
          <w:tr2bl w:val="nil"/>
        </w:tcBorders>
      </w:tcPr>
    </w:tblStylePr>
    <w:tblStylePr w:type="lastRow">
      <w:rPr>
        <w:b w:val="0"/>
      </w:rPr>
      <w:tblPr/>
      <w:tcPr>
        <w:tcBorders>
          <w:tl2br w:val="nil"/>
          <w:tr2bl w:val="nil"/>
        </w:tcBorders>
      </w:tcPr>
    </w:tblStylePr>
    <w:tblStylePr w:type="firstCol">
      <w:rPr>
        <w:b w:val="0"/>
      </w:rPr>
      <w:tblPr/>
      <w:tcPr>
        <w:tcBorders>
          <w:tl2br w:val="nil"/>
          <w:tr2bl w:val="nil"/>
        </w:tcBorders>
      </w:tcPr>
    </w:tblStylePr>
    <w:tblStylePr w:type="lastCol">
      <w:rPr>
        <w:b w:val="0"/>
      </w:rPr>
      <w:tblPr/>
      <w:tcPr>
        <w:tcBorders>
          <w:tl2br w:val="nil"/>
          <w:tr2bl w:val="nil"/>
        </w:tcBorders>
      </w:tcPr>
    </w:tblStylePr>
    <w:tblStylePr w:type="band1Vert">
      <w:rPr>
        <w:color w:val="000000"/>
      </w:rPr>
    </w:tblStylePr>
    <w:tblStylePr w:type="band2Vert">
      <w:rPr>
        <w:color w:val="000000"/>
      </w:rPr>
    </w:tblStylePr>
    <w:tblStylePr w:type="neCell">
      <w:rPr>
        <w:b/>
      </w:rPr>
      <w:tblPr/>
      <w:tcPr>
        <w:tcBorders>
          <w:tl2br w:val="nil"/>
          <w:tr2bl w:val="nil"/>
        </w:tcBorders>
      </w:tcPr>
    </w:tblStylePr>
    <w:tblStylePr w:type="swCell">
      <w:rPr>
        <w:b/>
      </w:rPr>
      <w:tblPr/>
      <w:tcPr>
        <w:tcBorders>
          <w:tl2br w:val="nil"/>
          <w:tr2bl w:val="nil"/>
        </w:tcBorders>
      </w:tcPr>
    </w:tblStylePr>
  </w:style>
  <w:style w:type="table" w:styleId="Tabel-Kolonner2">
    <w:name w:val="Table Columns 2"/>
    <w:basedOn w:val="Tabel-Normal"/>
    <w:semiHidden/>
    <w:rPr>
      <w:b/>
    </w:rPr>
    <w:tblPr>
      <w:tblStyleColBandSize w:val="1"/>
    </w:tblPr>
    <w:tblStylePr w:type="firstRow">
      <w:rPr>
        <w:color w:val="FFFFFF"/>
      </w:rPr>
      <w:tblPr/>
      <w:tcPr>
        <w:tcBorders>
          <w:tl2br w:val="nil"/>
          <w:tr2bl w:val="nil"/>
        </w:tcBorders>
      </w:tcPr>
    </w:tblStylePr>
    <w:tblStylePr w:type="lastRow">
      <w:rPr>
        <w:b w:val="0"/>
      </w:rPr>
      <w:tblPr/>
      <w:tcPr>
        <w:tcBorders>
          <w:tl2br w:val="nil"/>
          <w:tr2bl w:val="nil"/>
        </w:tcBorders>
      </w:tcPr>
    </w:tblStylePr>
    <w:tblStylePr w:type="firstCol">
      <w:rPr>
        <w:b w:val="0"/>
        <w:color w:val="000000"/>
      </w:rPr>
      <w:tblPr/>
      <w:tcPr>
        <w:tcBorders>
          <w:tl2br w:val="nil"/>
          <w:tr2bl w:val="nil"/>
        </w:tcBorders>
      </w:tcPr>
    </w:tblStylePr>
    <w:tblStylePr w:type="lastCol">
      <w:rPr>
        <w:b w:val="0"/>
      </w:rPr>
      <w:tblPr/>
      <w:tcPr>
        <w:tcBorders>
          <w:tl2br w:val="nil"/>
          <w:tr2bl w:val="nil"/>
        </w:tcBorders>
      </w:tcPr>
    </w:tblStylePr>
    <w:tblStylePr w:type="band1Vert">
      <w:rPr>
        <w:color w:val="000000"/>
      </w:rPr>
    </w:tblStylePr>
    <w:tblStylePr w:type="band2Vert">
      <w:rPr>
        <w:color w:val="000000"/>
      </w:rPr>
    </w:tblStylePr>
    <w:tblStylePr w:type="neCell">
      <w:rPr>
        <w:b/>
      </w:rPr>
      <w:tblPr/>
      <w:tcPr>
        <w:tcBorders>
          <w:tl2br w:val="nil"/>
          <w:tr2bl w:val="nil"/>
        </w:tcBorders>
      </w:tcPr>
    </w:tblStylePr>
    <w:tblStylePr w:type="swCell">
      <w:rPr>
        <w:b/>
      </w:rPr>
      <w:tblPr/>
      <w:tcPr>
        <w:tcBorders>
          <w:tl2br w:val="nil"/>
          <w:tr2bl w:val="nil"/>
        </w:tcBorders>
      </w:tcPr>
    </w:tblStylePr>
  </w:style>
  <w:style w:type="table" w:styleId="Tabel-Kolonner3">
    <w:name w:val="Table Columns 3"/>
    <w:basedOn w:val="Tabel-Normal"/>
    <w:semiHidden/>
    <w:rPr>
      <w: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tcPr>
    </w:tblStylePr>
    <w:tblStylePr w:type="lastRow">
      <w:rPr>
        <w:b w:val="0"/>
      </w:rPr>
      <w:tblPr/>
      <w:tcPr>
        <w:tcBorders>
          <w:top w:val="single" w:sz="6" w:space="0" w:color="000080"/>
          <w:tl2br w:val="nil"/>
          <w:tr2bl w:val="nil"/>
        </w:tcBorders>
      </w:tcPr>
    </w:tblStylePr>
    <w:tblStylePr w:type="firstCol">
      <w:rPr>
        <w:b w:val="0"/>
      </w:rPr>
      <w:tblPr/>
      <w:tcPr>
        <w:tcBorders>
          <w:tl2br w:val="nil"/>
          <w:tr2bl w:val="nil"/>
        </w:tcBorders>
      </w:tcPr>
    </w:tblStylePr>
    <w:tblStylePr w:type="lastCol">
      <w:rPr>
        <w:b w:val="0"/>
      </w:rPr>
      <w:tblPr/>
      <w:tcPr>
        <w:tcBorders>
          <w:tl2br w:val="nil"/>
          <w:tr2bl w:val="nil"/>
        </w:tcBorders>
      </w:tcPr>
    </w:tblStylePr>
    <w:tblStylePr w:type="band1Vert">
      <w:rPr>
        <w:color w:val="000000"/>
      </w:rPr>
    </w:tblStylePr>
    <w:tblStylePr w:type="band2Vert">
      <w:rPr>
        <w:color w:val="000000"/>
      </w:rPr>
    </w:tblStylePr>
    <w:tblStylePr w:type="neCell">
      <w:rPr>
        <w:b/>
      </w:rPr>
      <w:tblPr/>
      <w:tcPr>
        <w:tcBorders>
          <w:tl2br w:val="nil"/>
          <w:tr2bl w:val="nil"/>
        </w:tcBorders>
      </w:tcPr>
    </w:tblStylePr>
  </w:style>
  <w:style w:type="table" w:styleId="Tabel-Kolonner4">
    <w:name w:val="Table Columns 4"/>
    <w:basedOn w:val="Tabel-Normal"/>
    <w:semiHidden/>
    <w:tblPr>
      <w:tblStyleColBandSize w:val="1"/>
    </w:tblPr>
    <w:tblStylePr w:type="firstRow">
      <w:rPr>
        <w:color w:val="FFFFFF"/>
      </w:rPr>
      <w:tblPr/>
      <w:tcPr>
        <w:tcBorders>
          <w:tl2br w:val="nil"/>
          <w:tr2bl w:val="nil"/>
        </w:tcBorders>
      </w:tcPr>
    </w:tblStylePr>
    <w:tblStylePr w:type="lastRow">
      <w:rPr>
        <w:b/>
      </w:rPr>
      <w:tblPr/>
      <w:tcPr>
        <w:tcBorders>
          <w:tl2br w:val="nil"/>
          <w:tr2bl w:val="nil"/>
        </w:tcBorders>
      </w:tcPr>
    </w:tblStylePr>
    <w:tblStylePr w:type="lastCol">
      <w:rPr>
        <w:b/>
      </w:rPr>
      <w:tblPr/>
      <w:tcPr>
        <w:tcBorders>
          <w:tl2br w:val="nil"/>
          <w:tr2bl w:val="nil"/>
        </w:tcBorders>
      </w:tcPr>
    </w:tblStylePr>
    <w:tblStylePr w:type="band1Vert">
      <w:rPr>
        <w:color w:val="000000"/>
      </w:rPr>
    </w:tblStylePr>
    <w:tblStylePr w:type="band2Vert">
      <w:rPr>
        <w:color w:val="000000"/>
      </w:rPr>
    </w:tblStylePr>
  </w:style>
  <w:style w:type="table" w:styleId="Tabel-Kolonner5">
    <w:name w:val="Table Columns 5"/>
    <w:basedOn w:val="Tabel-Normal"/>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i/>
      </w:rPr>
      <w:tblPr/>
      <w:tcPr>
        <w:tcBorders>
          <w:bottom w:val="single" w:sz="6" w:space="0" w:color="808080"/>
          <w:tl2br w:val="nil"/>
          <w:tr2bl w:val="nil"/>
        </w:tcBorders>
      </w:tcPr>
    </w:tblStylePr>
    <w:tblStylePr w:type="lastRow">
      <w:rPr>
        <w:b/>
      </w:rPr>
      <w:tblPr/>
      <w:tcPr>
        <w:tcBorders>
          <w:top w:val="single" w:sz="6" w:space="0" w:color="80808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tblStylePr w:type="band1Vert">
      <w:rPr>
        <w:color w:val="000000"/>
      </w:rPr>
    </w:tblStylePr>
    <w:tblStylePr w:type="band2Vert">
      <w:rPr>
        <w:color w:val="000000"/>
      </w:rPr>
    </w:tblStylePr>
  </w:style>
  <w:style w:type="table" w:styleId="Tabel-Moderne">
    <w:name w:val="Table Contemporary"/>
    <w:basedOn w:val="Tabel-Normal"/>
    <w:semiHidden/>
    <w:tblPr>
      <w:tblStyleRowBandSize w:val="1"/>
      <w:tblBorders>
        <w:insideH w:val="single" w:sz="18" w:space="0" w:color="FFFFFF"/>
        <w:insideV w:val="single" w:sz="18" w:space="0" w:color="FFFFFF"/>
      </w:tblBorders>
    </w:tblPr>
    <w:tblStylePr w:type="firstRow">
      <w:rPr>
        <w:b/>
        <w:color w:val="000000"/>
      </w:rPr>
      <w:tblPr/>
      <w:tcPr>
        <w:tcBorders>
          <w:tl2br w:val="nil"/>
          <w:tr2bl w:val="nil"/>
        </w:tcBorders>
      </w:tcPr>
    </w:tblStylePr>
    <w:tblStylePr w:type="band1Horz">
      <w:rPr>
        <w:color w:val="000000"/>
      </w:rPr>
      <w:tblPr/>
      <w:tcPr>
        <w:tcBorders>
          <w:tl2br w:val="nil"/>
          <w:tr2bl w:val="nil"/>
        </w:tcBorders>
      </w:tcPr>
    </w:tblStylePr>
    <w:tblStylePr w:type="band2Horz">
      <w:rPr>
        <w:color w:val="000000"/>
      </w:rPr>
      <w:tblPr/>
      <w:tcPr>
        <w:tcBorders>
          <w:tl2br w:val="nil"/>
          <w:tr2bl w:val="nil"/>
        </w:tcBorders>
      </w:tcPr>
    </w:tblStylePr>
  </w:style>
  <w:style w:type="table" w:styleId="Tabel-Elegant">
    <w:name w:val="Table Elegant"/>
    <w:basedOn w:val="Tabel-Normal"/>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000000"/>
      </w:rPr>
      <w:tblPr/>
      <w:tcPr>
        <w:tcBorders>
          <w:tl2br w:val="nil"/>
          <w:tr2bl w:val="nil"/>
        </w:tcBorders>
      </w:tcPr>
    </w:tblStylePr>
  </w:style>
  <w:style w:type="table" w:styleId="Tabel-Gitter1">
    <w:name w:val="Table Grid 1"/>
    <w:basedOn w:val="Tabel-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rPr>
      <w:tblPr/>
      <w:tcPr>
        <w:tcBorders>
          <w:tl2br w:val="nil"/>
          <w:tr2bl w:val="nil"/>
        </w:tcBorders>
      </w:tcPr>
    </w:tblStylePr>
    <w:tblStylePr w:type="lastCol">
      <w:rPr>
        <w:i/>
      </w:rPr>
      <w:tblPr/>
      <w:tcPr>
        <w:tcBorders>
          <w:tl2br w:val="nil"/>
          <w:tr2bl w:val="nil"/>
        </w:tcBorders>
      </w:tcPr>
    </w:tblStylePr>
  </w:style>
  <w:style w:type="table" w:styleId="Tabel-Gitter2">
    <w:name w:val="Table Grid 2"/>
    <w:basedOn w:val="Tabel-Normal"/>
    <w:semiHidden/>
    <w:tblPr>
      <w:tblBorders>
        <w:insideH w:val="single" w:sz="6" w:space="0" w:color="000000"/>
        <w:insideV w:val="single" w:sz="6" w:space="0" w:color="000000"/>
      </w:tblBorders>
    </w:tblPr>
    <w:tblStylePr w:type="firstRow">
      <w:rPr>
        <w:b/>
      </w:rPr>
      <w:tblPr/>
      <w:tcPr>
        <w:tcBorders>
          <w:tl2br w:val="nil"/>
          <w:tr2bl w:val="nil"/>
        </w:tcBorders>
      </w:tcPr>
    </w:tblStylePr>
    <w:tblStylePr w:type="lastRow">
      <w:rPr>
        <w:b/>
      </w:rPr>
      <w:tblPr/>
      <w:tcPr>
        <w:tcBorders>
          <w:top w:val="single" w:sz="6" w:space="0" w:color="00000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style>
  <w:style w:type="table" w:styleId="Tabel-Gitter3">
    <w:name w:val="Table Grid 3"/>
    <w:basedOn w:val="Tabel-Normal"/>
    <w:semiHidden/>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il"/>
          <w:tr2bl w:val="nil"/>
        </w:tcBorders>
      </w:tcPr>
    </w:tblStylePr>
    <w:tblStylePr w:type="lastRow">
      <w:rPr>
        <w:b/>
      </w:rPr>
      <w:tblPr/>
      <w:tcPr>
        <w:tcBorders>
          <w:tl2br w:val="nil"/>
          <w:tr2bl w:val="nil"/>
        </w:tcBorders>
      </w:tcPr>
    </w:tblStylePr>
    <w:tblStylePr w:type="lastCol">
      <w:rPr>
        <w:b/>
      </w:rPr>
      <w:tblPr/>
      <w:tcPr>
        <w:tcBorders>
          <w:tl2br w:val="nil"/>
          <w:tr2bl w:val="nil"/>
        </w:tcBorders>
      </w:tcPr>
    </w:tblStylePr>
  </w:style>
  <w:style w:type="table" w:styleId="Tabel-Gitter4">
    <w:name w:val="Table Grid 4"/>
    <w:basedOn w:val="Tabel-Normal"/>
    <w:semiHidden/>
    <w:tblPr>
      <w:tblBorders>
        <w:left w:val="single" w:sz="12" w:space="0" w:color="000000"/>
        <w:right w:val="single" w:sz="12" w:space="0" w:color="000000"/>
        <w:insideH w:val="single" w:sz="6" w:space="0" w:color="000000"/>
        <w:insideV w:val="single" w:sz="6" w:space="0" w:color="000000"/>
      </w:tblBorders>
    </w:tblPr>
    <w:tblStylePr w:type="firstRow">
      <w:rPr>
        <w:color w:val="000000"/>
      </w:rPr>
      <w:tblPr/>
      <w:tcPr>
        <w:tcBorders>
          <w:bottom w:val="single" w:sz="6" w:space="0" w:color="000000"/>
          <w:tl2br w:val="nil"/>
          <w:tr2bl w:val="nil"/>
        </w:tcBorders>
      </w:tcPr>
    </w:tblStylePr>
    <w:tblStylePr w:type="lastRow">
      <w:rPr>
        <w:b/>
        <w:color w:val="000000"/>
      </w:rPr>
      <w:tblPr/>
      <w:tcPr>
        <w:tcBorders>
          <w:top w:val="single" w:sz="6" w:space="0" w:color="000000"/>
          <w:tl2br w:val="nil"/>
          <w:tr2bl w:val="nil"/>
        </w:tcBorders>
      </w:tcPr>
    </w:tblStylePr>
    <w:tblStylePr w:type="lastCol">
      <w:rPr>
        <w:b/>
        <w:color w:val="000000"/>
      </w:rPr>
      <w:tblPr/>
      <w:tcPr>
        <w:tcBorders>
          <w:tl2br w:val="nil"/>
          <w:tr2bl w:val="nil"/>
        </w:tcBorders>
      </w:tcPr>
    </w:tblStylePr>
  </w:style>
  <w:style w:type="table" w:styleId="Tabel-Gitter5">
    <w:name w:val="Table Grid 5"/>
    <w:basedOn w:val="Tabel-Normal"/>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rPr>
      <w:tblPr/>
      <w:tcPr>
        <w:tcBorders>
          <w:tl2br w:val="nil"/>
          <w:tr2bl w:val="nil"/>
        </w:tcBorders>
      </w:tcPr>
    </w:tblStylePr>
    <w:tblStylePr w:type="lastCol">
      <w:rPr>
        <w:b/>
      </w:rPr>
      <w:tblPr/>
      <w:tcPr>
        <w:tcBorders>
          <w:tl2br w:val="nil"/>
          <w:tr2bl w:val="nil"/>
        </w:tcBorders>
      </w:tcPr>
    </w:tblStylePr>
    <w:tblStylePr w:type="nwCell">
      <w:tblPr/>
      <w:tcPr>
        <w:tcBorders>
          <w:tl2br w:val="single" w:sz="6" w:space="0" w:color="000000"/>
          <w:tr2bl w:val="nil"/>
        </w:tcBorders>
      </w:tcPr>
    </w:tblStylePr>
  </w:style>
  <w:style w:type="table" w:styleId="Tabel-Gitter6">
    <w:name w:val="Table Grid 6"/>
    <w:basedOn w:val="Tabel-Normal"/>
    <w:semiHidden/>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rPr>
        <w:b/>
      </w:rPr>
      <w:tblPr/>
      <w:tcPr>
        <w:tcBorders>
          <w:tl2br w:val="nil"/>
          <w:tr2bl w:val="nil"/>
        </w:tcBorders>
      </w:tcPr>
    </w:tblStylePr>
    <w:tblStylePr w:type="nwCell">
      <w:tblPr/>
      <w:tcPr>
        <w:tcBorders>
          <w:tl2br w:val="single" w:sz="6" w:space="0" w:color="000000"/>
          <w:tr2bl w:val="nil"/>
        </w:tcBorders>
      </w:tcPr>
    </w:tblStylePr>
  </w:style>
  <w:style w:type="table" w:styleId="Tabel-Gitter7">
    <w:name w:val="Table Grid 7"/>
    <w:basedOn w:val="Tabel-Normal"/>
    <w:semiHidden/>
    <w:rPr>
      <w: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rPr>
      <w:tblPr/>
      <w:tcPr>
        <w:tcBorders>
          <w:bottom w:val="single" w:sz="12" w:space="0" w:color="000000"/>
          <w:tl2br w:val="nil"/>
          <w:tr2bl w:val="nil"/>
        </w:tcBorders>
      </w:tcPr>
    </w:tblStylePr>
    <w:tblStylePr w:type="lastRow">
      <w:rPr>
        <w:b w:val="0"/>
      </w:rPr>
      <w:tblPr/>
      <w:tcPr>
        <w:tcBorders>
          <w:top w:val="single" w:sz="6" w:space="0" w:color="000000"/>
          <w:tl2br w:val="nil"/>
          <w:tr2bl w:val="nil"/>
        </w:tcBorders>
      </w:tcPr>
    </w:tblStylePr>
    <w:tblStylePr w:type="firstCol">
      <w:rPr>
        <w:b w:val="0"/>
      </w:rPr>
      <w:tblPr/>
      <w:tcPr>
        <w:tcBorders>
          <w:tl2br w:val="nil"/>
          <w:tr2bl w:val="nil"/>
        </w:tcBorders>
      </w:tcPr>
    </w:tblStylePr>
    <w:tblStylePr w:type="lastCol">
      <w:rPr>
        <w:b w:val="0"/>
      </w:rPr>
      <w:tblPr/>
      <w:tcPr>
        <w:tcBorders>
          <w:tl2br w:val="nil"/>
          <w:tr2bl w:val="nil"/>
        </w:tcBorders>
      </w:tcPr>
    </w:tblStylePr>
    <w:tblStylePr w:type="nwCell">
      <w:tblPr/>
      <w:tcPr>
        <w:tcBorders>
          <w:tl2br w:val="single" w:sz="6" w:space="0" w:color="000000"/>
          <w:tr2bl w:val="nil"/>
        </w:tcBorders>
      </w:tcPr>
    </w:tblStylePr>
  </w:style>
  <w:style w:type="table" w:styleId="Tabel-Gitter8">
    <w:name w:val="Table Grid 8"/>
    <w:basedOn w:val="Tabel-Normal"/>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color w:val="FFFFFF"/>
      </w:rPr>
      <w:tblPr/>
      <w:tcPr>
        <w:tcBorders>
          <w:tl2br w:val="nil"/>
          <w:tr2bl w:val="nil"/>
        </w:tcBorders>
      </w:tcPr>
    </w:tblStylePr>
    <w:tblStylePr w:type="lastRow">
      <w:rPr>
        <w:b/>
        <w:color w:val="000000"/>
      </w:rPr>
      <w:tblPr/>
      <w:tcPr>
        <w:tcBorders>
          <w:tl2br w:val="nil"/>
          <w:tr2bl w:val="nil"/>
        </w:tcBorders>
      </w:tcPr>
    </w:tblStylePr>
    <w:tblStylePr w:type="lastCol">
      <w:rPr>
        <w:b/>
        <w:color w:val="000000"/>
      </w:rPr>
      <w:tblPr/>
      <w:tcPr>
        <w:tcBorders>
          <w:tl2br w:val="nil"/>
          <w:tr2bl w:val="nil"/>
        </w:tcBorders>
      </w:tcPr>
    </w:tblStylePr>
  </w:style>
  <w:style w:type="table" w:styleId="Tabel-Liste1">
    <w:name w:val="Table List 1"/>
    <w:basedOn w:val="Tabel-Normal"/>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i/>
        <w:color w:val="800000"/>
      </w:rPr>
      <w:tblPr/>
      <w:tcPr>
        <w:tcBorders>
          <w:bottom w:val="single" w:sz="6" w:space="0" w:color="000000"/>
          <w:tl2br w:val="nil"/>
          <w:tr2bl w:val="nil"/>
        </w:tcBorders>
      </w:tcPr>
    </w:tblStylePr>
    <w:tblStylePr w:type="lastRow">
      <w:tblPr/>
      <w:tcPr>
        <w:tcBorders>
          <w:top w:val="single" w:sz="6" w:space="0" w:color="000000"/>
          <w:tl2br w:val="nil"/>
          <w:tr2bl w:val="nil"/>
        </w:tcBorders>
      </w:tcPr>
    </w:tblStylePr>
    <w:tblStylePr w:type="band1Horz">
      <w:rPr>
        <w:color w:val="000000"/>
      </w:rPr>
      <w:tblPr/>
      <w:tcPr>
        <w:tcBorders>
          <w:tl2br w:val="nil"/>
          <w:tr2bl w:val="nil"/>
        </w:tcBorders>
      </w:tcPr>
    </w:tblStylePr>
    <w:tblStylePr w:type="band2Horz">
      <w:rPr>
        <w:color w:val="000000"/>
      </w:rPr>
      <w:tblPr/>
      <w:tcPr>
        <w:tcBorders>
          <w:tl2br w:val="nil"/>
          <w:tr2bl w:val="nil"/>
        </w:tcBorders>
      </w:tcPr>
    </w:tblStylePr>
    <w:tblStylePr w:type="swCell">
      <w:rPr>
        <w:b/>
      </w:rPr>
      <w:tblPr/>
      <w:tcPr>
        <w:tcBorders>
          <w:tl2br w:val="nil"/>
          <w:tr2bl w:val="nil"/>
        </w:tcBorders>
      </w:tcPr>
    </w:tblStylePr>
  </w:style>
  <w:style w:type="table" w:styleId="Tabel-Liste2">
    <w:name w:val="Table List 2"/>
    <w:basedOn w:val="Tabel-Normal"/>
    <w:semiHidden/>
    <w:tblPr>
      <w:tblStyleRowBandSize w:val="2"/>
      <w:tblBorders>
        <w:bottom w:val="single" w:sz="12" w:space="0" w:color="808080"/>
      </w:tblBorders>
    </w:tblPr>
    <w:tblStylePr w:type="firstRow">
      <w:rPr>
        <w:b/>
        <w:color w:val="FFFFFF"/>
      </w:rPr>
      <w:tblPr/>
      <w:tcPr>
        <w:tcBorders>
          <w:bottom w:val="single" w:sz="6" w:space="0" w:color="000000"/>
          <w:tl2br w:val="nil"/>
          <w:tr2bl w:val="nil"/>
        </w:tcBorders>
      </w:tcPr>
    </w:tblStylePr>
    <w:tblStylePr w:type="lastRow">
      <w:tblPr/>
      <w:tcPr>
        <w:tcBorders>
          <w:top w:val="single" w:sz="6" w:space="0" w:color="000000"/>
          <w:tl2br w:val="nil"/>
          <w:tr2bl w:val="nil"/>
        </w:tcBorders>
      </w:tcPr>
    </w:tblStylePr>
    <w:tblStylePr w:type="band1Horz">
      <w:rPr>
        <w:color w:val="000000"/>
      </w:rPr>
      <w:tblPr/>
      <w:tcPr>
        <w:tcBorders>
          <w:tl2br w:val="nil"/>
          <w:tr2bl w:val="nil"/>
        </w:tcBorders>
      </w:tcPr>
    </w:tblStylePr>
    <w:tblStylePr w:type="band2Horz">
      <w:rPr>
        <w:color w:val="000000"/>
      </w:rPr>
      <w:tblPr/>
      <w:tcPr>
        <w:tcBorders>
          <w:tl2br w:val="nil"/>
          <w:tr2bl w:val="nil"/>
        </w:tcBorders>
      </w:tcPr>
    </w:tblStylePr>
    <w:tblStylePr w:type="swCell">
      <w:rPr>
        <w:b/>
      </w:rPr>
      <w:tblPr/>
      <w:tcPr>
        <w:tcBorders>
          <w:tl2br w:val="nil"/>
          <w:tr2bl w:val="nil"/>
        </w:tcBorders>
      </w:tcPr>
    </w:tblStylePr>
  </w:style>
  <w:style w:type="table" w:styleId="Tabel-Liste3">
    <w:name w:val="Table List 3"/>
    <w:basedOn w:val="Tabel-Normal"/>
    <w:semiHidden/>
    <w:tblPr>
      <w:tblBorders>
        <w:top w:val="single" w:sz="12" w:space="0" w:color="000000"/>
        <w:bottom w:val="single" w:sz="12" w:space="0" w:color="000000"/>
        <w:insideH w:val="single" w:sz="6" w:space="0" w:color="000000"/>
      </w:tblBorders>
    </w:tblPr>
    <w:tblStylePr w:type="firstRow">
      <w:rPr>
        <w:b/>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color w:val="000080"/>
      </w:rPr>
      <w:tblPr/>
      <w:tcPr>
        <w:tcBorders>
          <w:tl2br w:val="nil"/>
          <w:tr2bl w:val="nil"/>
        </w:tcBorders>
      </w:tcPr>
    </w:tblStylePr>
  </w:style>
  <w:style w:type="table" w:styleId="Tabel-Liste4">
    <w:name w:val="Table List 4"/>
    <w:basedOn w:val="Tabel-Normal"/>
    <w:semiHidden/>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color w:val="FFFFFF"/>
      </w:rPr>
      <w:tblPr/>
      <w:tcPr>
        <w:tcBorders>
          <w:bottom w:val="single" w:sz="12" w:space="0" w:color="000000"/>
          <w:tl2br w:val="nil"/>
          <w:tr2bl w:val="nil"/>
        </w:tcBorders>
      </w:tcPr>
    </w:tblStylePr>
  </w:style>
  <w:style w:type="table" w:styleId="Tabel-Liste5">
    <w:name w:val="Table List 5"/>
    <w:basedOn w:val="Tabel-Normal"/>
    <w:semiHidden/>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rPr>
      <w:tblPr/>
      <w:tcPr>
        <w:tcBorders>
          <w:bottom w:val="single" w:sz="12" w:space="0" w:color="000000"/>
          <w:tl2br w:val="nil"/>
          <w:tr2bl w:val="nil"/>
        </w:tcBorders>
      </w:tcPr>
    </w:tblStylePr>
    <w:tblStylePr w:type="firstCol">
      <w:rPr>
        <w:b/>
      </w:rPr>
      <w:tblPr/>
      <w:tcPr>
        <w:tcBorders>
          <w:tl2br w:val="nil"/>
          <w:tr2bl w:val="nil"/>
        </w:tcBorders>
      </w:tcPr>
    </w:tblStylePr>
  </w:style>
  <w:style w:type="table" w:styleId="Tabel-Liste6">
    <w:name w:val="Table List 6"/>
    <w:basedOn w:val="Tabel-Normal"/>
    <w:semiHidden/>
    <w:tblPr>
      <w:tblStyleRowBandSize w:val="1"/>
      <w:tblBorders>
        <w:top w:val="single" w:sz="6" w:space="0" w:color="000000"/>
        <w:left w:val="single" w:sz="6" w:space="0" w:color="000000"/>
        <w:bottom w:val="single" w:sz="6" w:space="0" w:color="000000"/>
        <w:right w:val="single" w:sz="6" w:space="0" w:color="000000"/>
      </w:tblBorders>
    </w:tblPr>
    <w:tblStylePr w:type="firstRow">
      <w:rPr>
        <w:b/>
      </w:rPr>
      <w:tblPr/>
      <w:tcPr>
        <w:tcBorders>
          <w:bottom w:val="single" w:sz="12" w:space="0" w:color="000000"/>
          <w:tl2br w:val="nil"/>
          <w:tr2bl w:val="nil"/>
        </w:tcBorders>
      </w:tcPr>
    </w:tblStylePr>
    <w:tblStylePr w:type="firstCol">
      <w:rPr>
        <w:b/>
      </w:rPr>
      <w:tblPr/>
      <w:tcPr>
        <w:tcBorders>
          <w:right w:val="single" w:sz="12" w:space="0" w:color="000000"/>
          <w:tl2br w:val="nil"/>
          <w:tr2bl w:val="nil"/>
        </w:tcBorders>
      </w:tcPr>
    </w:tblStylePr>
    <w:tblStylePr w:type="band1Horz">
      <w:tblPr/>
      <w:tcPr>
        <w:tcBorders>
          <w:tl2br w:val="nil"/>
          <w:tr2bl w:val="nil"/>
        </w:tcBorders>
      </w:tcPr>
    </w:tblStylePr>
  </w:style>
  <w:style w:type="table" w:styleId="Tabel-Liste7">
    <w:name w:val="Table List 7"/>
    <w:basedOn w:val="Tabel-Normal"/>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rPr>
      <w:tblPr/>
      <w:tcPr>
        <w:tcBorders>
          <w:bottom w:val="single" w:sz="12" w:space="0" w:color="008000"/>
          <w:tl2br w:val="nil"/>
          <w:tr2bl w:val="nil"/>
        </w:tcBorders>
      </w:tcPr>
    </w:tblStylePr>
    <w:tblStylePr w:type="lastRow">
      <w:rPr>
        <w:b/>
      </w:rPr>
      <w:tblPr/>
      <w:tcPr>
        <w:tcBorders>
          <w:top w:val="single" w:sz="12" w:space="0" w:color="00800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tblStylePr w:type="band1Horz">
      <w:rPr>
        <w:color w:val="000000"/>
      </w:rPr>
      <w:tblPr/>
      <w:tcPr>
        <w:tcBorders>
          <w:tl2br w:val="nil"/>
          <w:tr2bl w:val="nil"/>
        </w:tcBorders>
      </w:tcPr>
    </w:tblStylePr>
    <w:tblStylePr w:type="band2Horz">
      <w:tblPr/>
      <w:tcPr>
        <w:tcBorders>
          <w:tl2br w:val="nil"/>
          <w:tr2bl w:val="nil"/>
        </w:tcBorders>
      </w:tcPr>
    </w:tblStylePr>
  </w:style>
  <w:style w:type="table" w:styleId="Tabel-Liste8">
    <w:name w:val="Table List 8"/>
    <w:basedOn w:val="Tabel-Normal"/>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i/>
      </w:rPr>
      <w:tblPr/>
      <w:tcPr>
        <w:tcBorders>
          <w:bottom w:val="single" w:sz="6" w:space="0" w:color="000000"/>
          <w:tl2br w:val="nil"/>
          <w:tr2bl w:val="nil"/>
        </w:tcBorders>
      </w:tcPr>
    </w:tblStylePr>
    <w:tblStylePr w:type="lastRow">
      <w:rPr>
        <w:b/>
      </w:rPr>
      <w:tblPr/>
      <w:tcPr>
        <w:tcBorders>
          <w:top w:val="single" w:sz="6" w:space="0" w:color="00000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tblStylePr w:type="band1Horz">
      <w:rPr>
        <w:color w:val="000000"/>
      </w:rPr>
      <w:tblPr/>
      <w:tcPr>
        <w:tcBorders>
          <w:tl2br w:val="nil"/>
          <w:tr2bl w:val="nil"/>
        </w:tcBorders>
      </w:tcPr>
    </w:tblStylePr>
    <w:tblStylePr w:type="band2Horz">
      <w:tblPr/>
      <w:tcPr>
        <w:tcBorders>
          <w:tl2br w:val="nil"/>
          <w:tr2bl w:val="nil"/>
        </w:tcBorders>
      </w:tcPr>
    </w:tblStylePr>
  </w:style>
  <w:style w:type="table" w:styleId="Tabel-Professionel">
    <w:name w:val="Table Professional"/>
    <w:basedOn w:val="Tabel-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color w:val="000000"/>
      </w:rPr>
      <w:tblPr/>
      <w:tcPr>
        <w:tcBorders>
          <w:tl2br w:val="nil"/>
          <w:tr2bl w:val="nil"/>
        </w:tcBorders>
      </w:tcPr>
    </w:tblStylePr>
  </w:style>
  <w:style w:type="table" w:styleId="Tabel-Enkelt2">
    <w:name w:val="Table Simple 2"/>
    <w:basedOn w:val="Tabel-Normal"/>
    <w:semiHidden/>
    <w:tblPr/>
    <w:tblStylePr w:type="firstRow">
      <w:rPr>
        <w:b/>
      </w:rPr>
      <w:tblPr/>
      <w:tcPr>
        <w:tcBorders>
          <w:bottom w:val="single" w:sz="12" w:space="0" w:color="000000"/>
          <w:tl2br w:val="nil"/>
          <w:tr2bl w:val="nil"/>
        </w:tcBorders>
      </w:tcPr>
    </w:tblStylePr>
    <w:tblStylePr w:type="lastRow">
      <w:rPr>
        <w:b/>
        <w:color w:val="000000"/>
      </w:rPr>
      <w:tblPr/>
      <w:tcPr>
        <w:tcBorders>
          <w:top w:val="single" w:sz="6" w:space="0" w:color="000000"/>
          <w:tl2br w:val="nil"/>
          <w:tr2bl w:val="nil"/>
        </w:tcBorders>
      </w:tcPr>
    </w:tblStylePr>
    <w:tblStylePr w:type="firstCol">
      <w:rPr>
        <w:b/>
      </w:rPr>
      <w:tblPr/>
      <w:tcPr>
        <w:tcBorders>
          <w:right w:val="single" w:sz="12" w:space="0" w:color="000000"/>
          <w:tl2br w:val="nil"/>
          <w:tr2bl w:val="nil"/>
        </w:tcBorders>
      </w:tcPr>
    </w:tblStylePr>
    <w:tblStylePr w:type="lastCol">
      <w:rPr>
        <w:b/>
      </w:rPr>
      <w:tblPr/>
      <w:tcPr>
        <w:tcBorders>
          <w:left w:val="single" w:sz="6" w:space="0" w:color="000000"/>
          <w:tl2br w:val="nil"/>
          <w:tr2bl w:val="nil"/>
        </w:tcBorders>
      </w:tcPr>
    </w:tblStylePr>
    <w:tblStylePr w:type="neCell">
      <w:rPr>
        <w:b/>
      </w:rPr>
      <w:tblPr/>
      <w:tcPr>
        <w:tcBorders>
          <w:left w:val="nil"/>
          <w:tl2br w:val="nil"/>
          <w:tr2bl w:val="nil"/>
        </w:tcBorders>
      </w:tcPr>
    </w:tblStylePr>
    <w:tblStylePr w:type="swCell">
      <w:rPr>
        <w:b/>
      </w:rPr>
      <w:tblPr/>
      <w:tcPr>
        <w:tcBorders>
          <w:top w:val="nil"/>
          <w:tl2br w:val="nil"/>
          <w:tr2bl w:val="nil"/>
        </w:tcBorders>
      </w:tcPr>
    </w:tblStylePr>
  </w:style>
  <w:style w:type="table" w:styleId="Tabel-Enkelt3">
    <w:name w:val="Table Simple 3"/>
    <w:basedOn w:val="Tabel-Normal"/>
    <w:semiHidden/>
    <w:tblPr>
      <w:tblBorders>
        <w:top w:val="single" w:sz="12" w:space="0" w:color="000000"/>
        <w:left w:val="single" w:sz="12" w:space="0" w:color="000000"/>
        <w:bottom w:val="single" w:sz="12" w:space="0" w:color="000000"/>
        <w:right w:val="single" w:sz="12" w:space="0" w:color="000000"/>
      </w:tblBorders>
    </w:tblPr>
    <w:tblStylePr w:type="firstRow">
      <w:rPr>
        <w:b/>
        <w:color w:val="FFFFFF"/>
      </w:rPr>
      <w:tblPr/>
      <w:tcPr>
        <w:tcBorders>
          <w:tl2br w:val="nil"/>
          <w:tr2bl w:val="nil"/>
        </w:tcBorders>
      </w:tcPr>
    </w:tblStylePr>
  </w:style>
  <w:style w:type="table" w:styleId="Tabel-Hrfin1">
    <w:name w:val="Table Subtle 1"/>
    <w:basedOn w:val="Tabel-Normal"/>
    <w:semiHidden/>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tcPr>
    </w:tblStylePr>
    <w:tblStylePr w:type="neCell">
      <w:rPr>
        <w:b/>
      </w:rPr>
      <w:tblPr/>
      <w:tcPr>
        <w:tcBorders>
          <w:tl2br w:val="nil"/>
          <w:tr2bl w:val="nil"/>
        </w:tcBorders>
      </w:tcPr>
    </w:tblStylePr>
    <w:tblStylePr w:type="swCell">
      <w:rPr>
        <w:b/>
      </w:rPr>
      <w:tblPr/>
      <w:tcPr>
        <w:tcBorders>
          <w:tl2br w:val="nil"/>
          <w:tr2bl w:val="nil"/>
        </w:tcBorders>
      </w:tcPr>
    </w:tblStylePr>
  </w:style>
  <w:style w:type="table" w:styleId="Tabel-Hrfin2">
    <w:name w:val="Table Subtle 2"/>
    <w:basedOn w:val="Tabel-Normal"/>
    <w:semiHidden/>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neCell">
      <w:rPr>
        <w:b/>
      </w:rPr>
      <w:tblPr/>
      <w:tcPr>
        <w:tcBorders>
          <w:tl2br w:val="nil"/>
          <w:tr2bl w:val="nil"/>
        </w:tcBorders>
      </w:tcPr>
    </w:tblStylePr>
    <w:tblStylePr w:type="swCell">
      <w:rPr>
        <w:b/>
      </w:rPr>
      <w:tblPr/>
      <w:tcPr>
        <w:tcBorders>
          <w:tl2br w:val="nil"/>
          <w:tr2bl w:val="nil"/>
        </w:tcBorders>
      </w:tcPr>
    </w:tblStylePr>
  </w:style>
  <w:style w:type="table" w:styleId="Tabel-Tema">
    <w:name w:val="Table Theme"/>
    <w:basedOn w:val="Tabel-Normal"/>
    <w:semiHidden/>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el-Web1">
    <w:name w:val="Table Web 1"/>
    <w:basedOn w:val="Tabel-Normal"/>
    <w:semiHidden/>
    <w:tblPr>
      <w:tblCellSpacing w:w="20"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Pr>
    <w:trPr>
      <w:tblCellSpacing w:w="20" w:type="dxa"/>
    </w:trPr>
    <w:tblStylePr w:type="firstRow">
      <w:rPr>
        <w:color w:val="000000"/>
      </w:rPr>
      <w:tblPr/>
      <w:tcPr>
        <w:tcBorders>
          <w:tl2br w:val="nil"/>
          <w:tr2bl w:val="nil"/>
        </w:tcBorders>
      </w:tcPr>
    </w:tblStylePr>
  </w:style>
  <w:style w:type="table" w:styleId="Tabel-Web2">
    <w:name w:val="Table Web 2"/>
    <w:basedOn w:val="Tabel-Normal"/>
    <w:semiHidden/>
    <w:tblPr>
      <w:tblCellSpacing w:w="20" w:type="dxa"/>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rPr>
      <w:tblCellSpacing w:w="20" w:type="dxa"/>
    </w:trPr>
    <w:tblStylePr w:type="firstRow">
      <w:rPr>
        <w:color w:val="000000"/>
      </w:rPr>
      <w:tblPr/>
      <w:tcPr>
        <w:tcBorders>
          <w:tl2br w:val="nil"/>
          <w:tr2bl w:val="nil"/>
        </w:tcBorders>
      </w:tcPr>
    </w:tblStylePr>
  </w:style>
  <w:style w:type="table" w:styleId="Tabel-Web3">
    <w:name w:val="Table Web 3"/>
    <w:basedOn w:val="Tabel-Normal"/>
    <w:semiHidden/>
    <w:tblPr>
      <w:tblCellSpacing w:w="20" w:type="dxa"/>
      <w:tblBorders>
        <w:top w:val="outset" w:sz="24" w:space="0" w:color="000000"/>
        <w:left w:val="outset" w:sz="24" w:space="0" w:color="000000"/>
        <w:bottom w:val="outset" w:sz="24" w:space="0" w:color="000000"/>
        <w:right w:val="outset" w:sz="24" w:space="0" w:color="000000"/>
        <w:insideH w:val="outset" w:sz="6" w:space="0" w:color="000000"/>
        <w:insideV w:val="outset" w:sz="6" w:space="0" w:color="000000"/>
      </w:tblBorders>
    </w:tblPr>
    <w:trPr>
      <w:tblCellSpacing w:w="20" w:type="dxa"/>
    </w:trPr>
    <w:tblStylePr w:type="firstRow">
      <w:rPr>
        <w:color w:val="000000"/>
      </w:rPr>
      <w:tblPr/>
      <w:tcPr>
        <w:tcBorders>
          <w:tl2br w:val="nil"/>
          <w:tr2bl w:val="nil"/>
        </w:tcBorders>
      </w:tcPr>
    </w:tblStylePr>
  </w:style>
  <w:style w:type="table" w:customStyle="1" w:styleId="Table-Normal">
    <w:name w:val="Table - Normal"/>
    <w:basedOn w:val="Tabel-Normal"/>
    <w:pPr>
      <w:spacing w:line="220" w:lineRule="atLeast"/>
    </w:pPr>
    <w:rPr>
      <w:rFonts w:ascii="Georgia" w:hAnsi="Georgia"/>
      <w:sz w:val="18"/>
    </w:rPr>
    <w:tblPr>
      <w:tblStyleRowBandSize w:val="1"/>
      <w:tblStyleColBandSize w:val="1"/>
      <w:tblInd w:w="113" w:type="dxa"/>
      <w:tblCellMar>
        <w:top w:w="57" w:type="dxa"/>
        <w:left w:w="113" w:type="dxa"/>
        <w:bottom w:w="57" w:type="dxa"/>
        <w:right w:w="113" w:type="dxa"/>
      </w:tblCellMar>
    </w:tblPr>
    <w:tblStylePr w:type="firstRow">
      <w:pPr>
        <w:spacing w:before="0" w:beforeAutospacing="0" w:after="0" w:afterAutospacing="0" w:line="260" w:lineRule="atLeast"/>
        <w:ind w:left="0" w:right="0" w:firstLine="0"/>
        <w:contextualSpacing w:val="0"/>
        <w:jc w:val="left"/>
      </w:pPr>
      <w:rPr>
        <w:rFonts w:ascii="Garamond" w:hAnsi="Garamond"/>
        <w:b/>
        <w:color w:val="000000"/>
        <w:sz w:val="18"/>
      </w:rPr>
      <w:tblPr/>
      <w:tcPr>
        <w:tcBorders>
          <w:insideH w:val="nil"/>
        </w:tcBorders>
      </w:tcPr>
    </w:tblStylePr>
    <w:tblStylePr w:type="firstCol">
      <w:pPr>
        <w:spacing w:beforeAutospacing="0" w:afterAutospacing="0" w:line="220" w:lineRule="atLeast"/>
      </w:pPr>
      <w:rPr>
        <w:rFonts w:ascii="Garamond" w:hAnsi="Garamond"/>
        <w:b/>
        <w:sz w:val="18"/>
      </w:rPr>
    </w:tblStylePr>
  </w:style>
  <w:style w:type="table" w:styleId="Tabel-Gitter">
    <w:name w:val="Table Grid"/>
    <w:basedOn w:val="Tabel-Normal"/>
    <w:uiPriority w:val="59"/>
    <w:pPr>
      <w:spacing w:line="240" w:lineRule="atLeast"/>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Farvet-Normal">
    <w:name w:val="Tabel Farvet - Normal"/>
    <w:basedOn w:val="Tabel-Normal"/>
    <w:rPr>
      <w:rFonts w:ascii="Georgia" w:hAnsi="Georgia"/>
      <w:color w:val="4F757D"/>
      <w:sz w:val="18"/>
    </w:rPr>
    <w:tblPr>
      <w:tblStyleRowBandSize w:val="1"/>
      <w:tblInd w:w="113" w:type="dxa"/>
      <w:tblCellMar>
        <w:top w:w="57" w:type="dxa"/>
        <w:bottom w:w="57" w:type="dxa"/>
      </w:tblCellMar>
    </w:tblPr>
    <w:tblStylePr w:type="firstRow">
      <w:rPr>
        <w:b/>
        <w:color w:val="FFFFFF"/>
      </w:rPr>
      <w:tblPr/>
      <w:tcPr>
        <w:shd w:val="clear" w:color="auto" w:fill="8CCAB4"/>
      </w:tcPr>
    </w:tblStylePr>
    <w:tblStylePr w:type="firstCol">
      <w:rPr>
        <w:b/>
      </w:rPr>
    </w:tblStylePr>
    <w:tblStylePr w:type="band1Horz">
      <w:rPr>
        <w:rFonts w:ascii="Garamond" w:hAnsi="Garamond"/>
      </w:rPr>
    </w:tblStylePr>
    <w:tblStylePr w:type="band2Horz">
      <w:tblPr/>
      <w:tcPr>
        <w:shd w:val="clear" w:color="auto" w:fill="C6E4DA"/>
      </w:tcPr>
    </w:tblStylePr>
  </w:style>
  <w:style w:type="table" w:customStyle="1" w:styleId="BorderlessTable">
    <w:name w:val="BorderlessTable"/>
    <w:tblPr>
      <w:tblBorders>
        <w:top w:val="single" w:sz="6" w:space="0" w:color="000000"/>
        <w:left w:val="single" w:sz="6" w:space="0" w:color="000000"/>
        <w:bottom w:val="single" w:sz="6" w:space="0" w:color="000000"/>
        <w:right w:val="single" w:sz="6" w:space="0" w:color="000000"/>
      </w:tblBorders>
      <w:tblCellMar>
        <w:top w:w="0" w:type="dxa"/>
        <w:left w:w="0" w:type="dxa"/>
        <w:bottom w:w="0" w:type="dxa"/>
        <w:right w:w="0" w:type="dxa"/>
      </w:tblCellMar>
    </w:tblPr>
  </w:style>
  <w:style w:type="table" w:customStyle="1" w:styleId="NoBorderTable">
    <w:name w:val="NoBorderTable"/>
    <w:tblPr>
      <w:tblCellMar>
        <w:top w:w="0" w:type="dxa"/>
        <w:left w:w="0" w:type="dxa"/>
        <w:bottom w:w="0" w:type="dxa"/>
        <w:right w:w="0" w:type="dxa"/>
      </w:tblCellMar>
    </w:tblPr>
  </w:style>
  <w:style w:type="paragraph" w:styleId="Listeafsnit">
    <w:name w:val="List Paragraph"/>
    <w:basedOn w:val="Normal"/>
    <w:uiPriority w:val="34"/>
    <w:qFormat/>
    <w:rsid w:val="00235134"/>
    <w:pPr>
      <w:spacing w:after="200" w:line="276" w:lineRule="auto"/>
      <w:ind w:left="720"/>
      <w:contextualSpacing/>
    </w:pPr>
    <w:rPr>
      <w:rFonts w:asciiTheme="minorHAnsi" w:eastAsiaTheme="minorHAnsi" w:hAnsiTheme="minorHAnsi" w:cstheme="minorBidi"/>
      <w:color w:val="auto"/>
      <w:sz w:val="22"/>
      <w:szCs w:val="22"/>
      <w:lang w:eastAsia="en-US"/>
    </w:rPr>
  </w:style>
  <w:style w:type="table" w:customStyle="1" w:styleId="Tabel-Gitter10">
    <w:name w:val="Tabel - Gitter1"/>
    <w:basedOn w:val="Tabel-Normal"/>
    <w:next w:val="Tabel-Gitter"/>
    <w:uiPriority w:val="59"/>
    <w:rsid w:val="00235134"/>
    <w:rPr>
      <w:rFonts w:asciiTheme="minorHAnsi" w:eastAsiaTheme="minorHAnsi" w:hAnsiTheme="minorHAnsi" w:cstheme="minorBid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henvisning">
    <w:name w:val="annotation reference"/>
    <w:basedOn w:val="Standardskrifttypeiafsnit"/>
    <w:uiPriority w:val="99"/>
    <w:semiHidden/>
    <w:unhideWhenUsed/>
    <w:rsid w:val="00265346"/>
    <w:rPr>
      <w:sz w:val="16"/>
      <w:szCs w:val="16"/>
    </w:rPr>
  </w:style>
  <w:style w:type="paragraph" w:styleId="Kommentartekst">
    <w:name w:val="annotation text"/>
    <w:basedOn w:val="Normal"/>
    <w:link w:val="KommentartekstTegn"/>
    <w:uiPriority w:val="99"/>
    <w:unhideWhenUsed/>
    <w:rsid w:val="00265346"/>
    <w:pPr>
      <w:spacing w:line="240" w:lineRule="auto"/>
    </w:pPr>
    <w:rPr>
      <w:sz w:val="20"/>
    </w:rPr>
  </w:style>
  <w:style w:type="character" w:customStyle="1" w:styleId="KommentartekstTegn">
    <w:name w:val="Kommentartekst Tegn"/>
    <w:basedOn w:val="Standardskrifttypeiafsnit"/>
    <w:link w:val="Kommentartekst"/>
    <w:uiPriority w:val="99"/>
    <w:rsid w:val="00265346"/>
    <w:rPr>
      <w:rFonts w:ascii="Georgia" w:hAnsi="Georgia"/>
      <w:sz w:val="20"/>
    </w:rPr>
  </w:style>
  <w:style w:type="paragraph" w:styleId="Kommentaremne">
    <w:name w:val="annotation subject"/>
    <w:basedOn w:val="Kommentartekst"/>
    <w:next w:val="Kommentartekst"/>
    <w:link w:val="KommentaremneTegn"/>
    <w:uiPriority w:val="99"/>
    <w:semiHidden/>
    <w:unhideWhenUsed/>
    <w:rsid w:val="00265346"/>
    <w:rPr>
      <w:b/>
      <w:bCs/>
    </w:rPr>
  </w:style>
  <w:style w:type="character" w:customStyle="1" w:styleId="KommentaremneTegn">
    <w:name w:val="Kommentaremne Tegn"/>
    <w:basedOn w:val="KommentartekstTegn"/>
    <w:link w:val="Kommentaremne"/>
    <w:uiPriority w:val="99"/>
    <w:semiHidden/>
    <w:rsid w:val="00265346"/>
    <w:rPr>
      <w:rFonts w:ascii="Georgia" w:hAnsi="Georgia"/>
      <w:b/>
      <w:bCs/>
      <w:sz w:val="20"/>
    </w:rPr>
  </w:style>
  <w:style w:type="paragraph" w:customStyle="1" w:styleId="n2k">
    <w:name w:val="n2k"/>
    <w:basedOn w:val="Normal"/>
    <w:link w:val="n2kTegn"/>
    <w:qFormat/>
    <w:rsid w:val="00B809C2"/>
    <w:rPr>
      <w:color w:val="31849B" w:themeColor="accent5" w:themeShade="BF"/>
      <w:sz w:val="15"/>
      <w:szCs w:val="15"/>
    </w:rPr>
  </w:style>
  <w:style w:type="character" w:customStyle="1" w:styleId="n2kTegn">
    <w:name w:val="n2k Tegn"/>
    <w:basedOn w:val="Standardskrifttypeiafsnit"/>
    <w:link w:val="n2k"/>
    <w:rsid w:val="00B809C2"/>
    <w:rPr>
      <w:rFonts w:ascii="Georgia" w:hAnsi="Georgia"/>
      <w:color w:val="31849B" w:themeColor="accent5" w:themeShade="BF"/>
      <w:sz w:val="15"/>
      <w:szCs w:val="1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3101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eur-lex.europa.eu/legal-content/DA/TXT/PDF/?uri=CELEX:31992L0043&amp;from=DA" TargetMode="External"/><Relationship Id="rId18" Type="http://schemas.openxmlformats.org/officeDocument/2006/relationships/image" Target="media/image5.jpeg"/><Relationship Id="rId26"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image" Target="media/image6.pn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eur-lex.europa.eu/legal-content/DA/TXT/PDF/?uri=CELEX:32009L0147&amp;from=EN" TargetMode="External"/><Relationship Id="rId17" Type="http://schemas.openxmlformats.org/officeDocument/2006/relationships/image" Target="media/image4.jpeg"/><Relationship Id="rId25" Type="http://schemas.openxmlformats.org/officeDocument/2006/relationships/hyperlink" Target="http://miljoegis.mim.dk/?&amp;profile=natura2000planer2-2016" TargetMode="External"/><Relationship Id="rId33"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www.naturstyrelsen.dk/Naturbeskyttelse/Natura2000/Natura_2000_planer/"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8.png"/><Relationship Id="rId32" Type="http://schemas.openxmlformats.org/officeDocument/2006/relationships/footer" Target="footer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retsinformation.dk/forms/r0710.aspx?id=175267" TargetMode="External"/><Relationship Id="rId23" Type="http://schemas.openxmlformats.org/officeDocument/2006/relationships/image" Target="media/image7.png"/><Relationship Id="rId28"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naturstyrelsen.dk/Naturbeskyttelse/Natura2000/Natura_2000_planer/"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naturstyrelsen.dk" TargetMode="External"/><Relationship Id="rId14" Type="http://schemas.openxmlformats.org/officeDocument/2006/relationships/hyperlink" Target="https://www.retsinformation.dk/forms/r0710.aspx?id=175916" TargetMode="External"/><Relationship Id="rId22" Type="http://schemas.openxmlformats.org/officeDocument/2006/relationships/hyperlink" Target="http://miljoegis.mim.dk/?&amp;profile=natura2000planer2-2016"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footer" Target="footer5.xml"/></Relationships>
</file>

<file path=word/_rels/footer5.xml.rels><?xml version="1.0" encoding="UTF-8" standalone="yes"?>
<Relationships xmlns="http://schemas.openxmlformats.org/package/2006/relationships"><Relationship Id="rId1" Type="http://schemas.openxmlformats.org/officeDocument/2006/relationships/image" Target="media/image11.wm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20</Pages>
  <Words>3938</Words>
  <Characters>24022</Characters>
  <Application>Microsoft Office Word</Application>
  <DocSecurity>0</DocSecurity>
  <Lines>200</Lines>
  <Paragraphs>55</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27905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Brandbyge</dc:creator>
  <cp:lastModifiedBy>Brandbyge, John</cp:lastModifiedBy>
  <cp:revision>21</cp:revision>
  <dcterms:created xsi:type="dcterms:W3CDTF">2014-12-17T14:21:00Z</dcterms:created>
  <dcterms:modified xsi:type="dcterms:W3CDTF">2016-02-05T13:53:00Z</dcterms:modified>
</cp:coreProperties>
</file>