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116"/>
        <w:gridCol w:w="1939"/>
      </w:tblGrid>
      <w:tr w:rsidR="00E7224B" w:rsidRPr="006979FC" w14:paraId="2E552F27" w14:textId="77777777" w:rsidTr="00EE0B94">
        <w:trPr>
          <w:cantSplit/>
          <w:trHeight w:val="2600"/>
        </w:trPr>
        <w:tc>
          <w:tcPr>
            <w:tcW w:w="7116" w:type="dxa"/>
          </w:tcPr>
          <w:p w14:paraId="0272311A" w14:textId="77777777" w:rsidR="00E7224B" w:rsidRPr="006979FC" w:rsidRDefault="00E7224B" w:rsidP="00EE0B94">
            <w:bookmarkStart w:id="0" w:name="_GoBack"/>
            <w:bookmarkEnd w:id="0"/>
          </w:p>
        </w:tc>
        <w:tc>
          <w:tcPr>
            <w:tcW w:w="1939" w:type="dxa"/>
          </w:tcPr>
          <w:p w14:paraId="71D25D60" w14:textId="2910A966" w:rsidR="00D579B2" w:rsidRDefault="00D579B2" w:rsidP="00EE0B94">
            <w:pPr>
              <w:ind w:right="-1759"/>
            </w:pPr>
          </w:p>
          <w:p w14:paraId="36C6C0A0" w14:textId="77777777" w:rsidR="00D579B2" w:rsidRPr="00D579B2" w:rsidRDefault="00D579B2" w:rsidP="00D579B2"/>
          <w:p w14:paraId="7F3F6C9E" w14:textId="01D88103" w:rsidR="00D579B2" w:rsidRDefault="00D579B2" w:rsidP="00D579B2"/>
          <w:p w14:paraId="69D9FD1F" w14:textId="77777777" w:rsidR="00E7224B" w:rsidRPr="00D579B2" w:rsidRDefault="00E7224B" w:rsidP="00D579B2">
            <w:pPr>
              <w:jc w:val="center"/>
            </w:pPr>
          </w:p>
        </w:tc>
      </w:tr>
      <w:tr w:rsidR="00E7224B" w:rsidRPr="006979FC" w14:paraId="2CAC539C" w14:textId="77777777" w:rsidTr="00EE0B94">
        <w:trPr>
          <w:cantSplit/>
        </w:trPr>
        <w:tc>
          <w:tcPr>
            <w:tcW w:w="7116" w:type="dxa"/>
          </w:tcPr>
          <w:p w14:paraId="08F5A8DA" w14:textId="190D8DC5" w:rsidR="00F10C70" w:rsidRDefault="00F10C70" w:rsidP="00EE0B94">
            <w:pPr>
              <w:pStyle w:val="DocumentHeading"/>
            </w:pPr>
            <w:r>
              <w:t>Notat om de juridiske rammer for vurdering af påvirkning af bilag IV-arters levesteder</w:t>
            </w:r>
          </w:p>
          <w:p w14:paraId="0BE73A44" w14:textId="77777777" w:rsidR="00E7224B" w:rsidRPr="006979FC" w:rsidRDefault="00E7224B" w:rsidP="00F10C70">
            <w:pPr>
              <w:pStyle w:val="DocumentHeading"/>
            </w:pPr>
          </w:p>
        </w:tc>
        <w:tc>
          <w:tcPr>
            <w:tcW w:w="1939" w:type="dxa"/>
          </w:tcPr>
          <w:p w14:paraId="40B2F6A1" w14:textId="77777777" w:rsidR="00E7224B" w:rsidRPr="006979FC" w:rsidRDefault="00E7224B" w:rsidP="00EE0B94">
            <w:pPr>
              <w:ind w:right="-1759"/>
            </w:pPr>
          </w:p>
        </w:tc>
      </w:tr>
    </w:tbl>
    <w:p w14:paraId="6A104855" w14:textId="77777777" w:rsidR="00E7224B" w:rsidRDefault="00E7224B" w:rsidP="00E7224B">
      <w:pPr>
        <w:ind w:right="-1759"/>
      </w:pPr>
    </w:p>
    <w:p w14:paraId="4800D877" w14:textId="53708BCF" w:rsidR="00E7224B" w:rsidRDefault="00E7224B" w:rsidP="00E7224B">
      <w:pPr>
        <w:ind w:right="-1759"/>
        <w:jc w:val="both"/>
        <w:rPr>
          <w:rFonts w:asciiTheme="minorHAnsi" w:hAnsiTheme="minorHAnsi"/>
        </w:rPr>
      </w:pPr>
      <w:r>
        <w:t>Formålet med dette notat er at skitsere processen for den juridiske vurdering efter habitatdirektivets</w:t>
      </w:r>
      <w:r>
        <w:rPr>
          <w:rStyle w:val="Fodnotehenvisning"/>
        </w:rPr>
        <w:footnoteReference w:id="1"/>
      </w:r>
      <w:r>
        <w:t xml:space="preserve"> art</w:t>
      </w:r>
      <w:r w:rsidR="00CE01CE">
        <w:t>ikel</w:t>
      </w:r>
      <w:r>
        <w:t xml:space="preserve"> 12, stk. 1, litra d) (</w:t>
      </w:r>
      <w:r w:rsidRPr="00952455">
        <w:rPr>
          <w:rFonts w:asciiTheme="minorHAnsi" w:hAnsiTheme="minorHAnsi"/>
          <w:i/>
        </w:rPr>
        <w:t>beskyttelsen af bilag IV-arters yngle- og rasteområder</w:t>
      </w:r>
      <w:r>
        <w:rPr>
          <w:rFonts w:asciiTheme="minorHAnsi" w:hAnsiTheme="minorHAnsi"/>
        </w:rPr>
        <w:t xml:space="preserve">) </w:t>
      </w:r>
      <w:r>
        <w:t xml:space="preserve">samt at beskrive de vigtigste elementer, der bør indgå i denne vurdering. Indledningsvist beskrives det retlige grundlag for </w:t>
      </w:r>
      <w:r>
        <w:rPr>
          <w:rFonts w:asciiTheme="minorHAnsi" w:hAnsiTheme="minorHAnsi"/>
        </w:rPr>
        <w:t>vurderingen (</w:t>
      </w:r>
      <w:r w:rsidRPr="00C12A7F">
        <w:rPr>
          <w:rFonts w:asciiTheme="minorHAnsi" w:hAnsiTheme="minorHAnsi"/>
          <w:b/>
        </w:rPr>
        <w:t>Del A</w:t>
      </w:r>
      <w:r w:rsidRPr="00E4138F">
        <w:rPr>
          <w:rFonts w:asciiTheme="minorHAnsi" w:hAnsiTheme="minorHAnsi"/>
        </w:rPr>
        <w:t>)</w:t>
      </w:r>
      <w:r>
        <w:rPr>
          <w:rFonts w:asciiTheme="minorHAnsi" w:hAnsiTheme="minorHAnsi"/>
        </w:rPr>
        <w:t>. Herefter gennemgås de centrale elementer i vurderingen (</w:t>
      </w:r>
      <w:r w:rsidRPr="00C12A7F">
        <w:rPr>
          <w:rFonts w:asciiTheme="minorHAnsi" w:hAnsiTheme="minorHAnsi"/>
          <w:b/>
        </w:rPr>
        <w:t>Del B</w:t>
      </w:r>
      <w:r>
        <w:rPr>
          <w:rFonts w:asciiTheme="minorHAnsi" w:hAnsiTheme="minorHAnsi"/>
        </w:rPr>
        <w:t xml:space="preserve">). </w:t>
      </w:r>
      <w:r w:rsidR="007A06E8">
        <w:rPr>
          <w:rFonts w:asciiTheme="minorHAnsi" w:hAnsiTheme="minorHAnsi"/>
        </w:rPr>
        <w:t>Endelig indeholder notatet en række korte råd og tips til at gennem</w:t>
      </w:r>
      <w:r w:rsidR="00A960F3">
        <w:rPr>
          <w:rFonts w:asciiTheme="minorHAnsi" w:hAnsiTheme="minorHAnsi"/>
        </w:rPr>
        <w:t>f</w:t>
      </w:r>
      <w:r w:rsidR="007A06E8">
        <w:rPr>
          <w:rFonts w:asciiTheme="minorHAnsi" w:hAnsiTheme="minorHAnsi"/>
        </w:rPr>
        <w:t>øre vurderingen (</w:t>
      </w:r>
      <w:r w:rsidR="007A06E8" w:rsidRPr="007A06E8">
        <w:rPr>
          <w:rFonts w:asciiTheme="minorHAnsi" w:hAnsiTheme="minorHAnsi"/>
          <w:b/>
        </w:rPr>
        <w:t>Del C</w:t>
      </w:r>
      <w:r w:rsidR="007A06E8">
        <w:rPr>
          <w:rFonts w:asciiTheme="minorHAnsi" w:hAnsiTheme="minorHAnsi"/>
        </w:rPr>
        <w:t>).</w:t>
      </w:r>
    </w:p>
    <w:p w14:paraId="1FB0635C" w14:textId="4CE08E1F" w:rsidR="00FA3BBE" w:rsidRDefault="00FA3BBE" w:rsidP="00E7224B">
      <w:pPr>
        <w:ind w:right="-1759"/>
        <w:jc w:val="both"/>
        <w:rPr>
          <w:rFonts w:asciiTheme="minorHAnsi" w:hAnsiTheme="minorHAnsi"/>
        </w:rPr>
      </w:pPr>
    </w:p>
    <w:p w14:paraId="6B1DAB38" w14:textId="369620B8" w:rsidR="008E2FB8" w:rsidRDefault="00FA3BBE" w:rsidP="00E7224B">
      <w:pPr>
        <w:ind w:right="-1759"/>
        <w:jc w:val="both"/>
        <w:rPr>
          <w:rFonts w:asciiTheme="minorHAnsi" w:hAnsiTheme="minorHAnsi"/>
        </w:rPr>
      </w:pPr>
      <w:r>
        <w:rPr>
          <w:rFonts w:asciiTheme="minorHAnsi" w:hAnsiTheme="minorHAnsi"/>
        </w:rPr>
        <w:t xml:space="preserve">Notatet er udarbejdet i forbindelse med </w:t>
      </w:r>
      <w:r>
        <w:t xml:space="preserve">opfølgning på opdatering af Håndbog for bilag IV-arter og </w:t>
      </w:r>
      <w:r>
        <w:rPr>
          <w:rFonts w:asciiTheme="minorHAnsi" w:hAnsiTheme="minorHAnsi"/>
        </w:rPr>
        <w:t xml:space="preserve">henvender sig især til bygherrer, rådgivere samt statslige og kommunale myndigheder. Notatet har </w:t>
      </w:r>
      <w:r w:rsidR="008E2FB8" w:rsidRPr="00BC22E7">
        <w:rPr>
          <w:rFonts w:asciiTheme="minorHAnsi" w:hAnsiTheme="minorHAnsi"/>
        </w:rPr>
        <w:t xml:space="preserve"> særligt fokus på de vurderinger, der skal foretages efter habitatbekendtgørelsens</w:t>
      </w:r>
      <w:r w:rsidR="008E2FB8" w:rsidRPr="00BC22E7">
        <w:rPr>
          <w:rStyle w:val="Fodnotehenvisning"/>
        </w:rPr>
        <w:footnoteReference w:id="2"/>
      </w:r>
      <w:r w:rsidR="008E2FB8" w:rsidRPr="00BC22E7">
        <w:rPr>
          <w:rFonts w:asciiTheme="minorHAnsi" w:hAnsiTheme="minorHAnsi"/>
        </w:rPr>
        <w:t xml:space="preserve"> § 10, stk. 1, </w:t>
      </w:r>
      <w:r w:rsidR="004A5FE0">
        <w:rPr>
          <w:rFonts w:asciiTheme="minorHAnsi" w:hAnsiTheme="minorHAnsi"/>
        </w:rPr>
        <w:t xml:space="preserve">nr. 1, </w:t>
      </w:r>
      <w:r w:rsidR="008E2FB8" w:rsidRPr="00BC22E7">
        <w:rPr>
          <w:rFonts w:asciiTheme="minorHAnsi" w:hAnsiTheme="minorHAnsi"/>
        </w:rPr>
        <w:t>i sager vedrørende afgørelse</w:t>
      </w:r>
      <w:r w:rsidR="00180C1A">
        <w:rPr>
          <w:rFonts w:asciiTheme="minorHAnsi" w:hAnsiTheme="minorHAnsi"/>
        </w:rPr>
        <w:t>r</w:t>
      </w:r>
      <w:r w:rsidR="008E2FB8" w:rsidRPr="00BC22E7">
        <w:rPr>
          <w:rFonts w:asciiTheme="minorHAnsi" w:hAnsiTheme="minorHAnsi"/>
        </w:rPr>
        <w:t xml:space="preserve"> om tilladelse efter miljøvurderingslovens</w:t>
      </w:r>
      <w:r w:rsidR="008E2FB8" w:rsidRPr="00BC22E7">
        <w:rPr>
          <w:rStyle w:val="Fodnotehenvisning"/>
        </w:rPr>
        <w:footnoteReference w:id="3"/>
      </w:r>
      <w:r w:rsidR="008E2FB8" w:rsidRPr="00BC22E7">
        <w:rPr>
          <w:rFonts w:asciiTheme="minorHAnsi" w:hAnsiTheme="minorHAnsi"/>
        </w:rPr>
        <w:t xml:space="preserve"> § 25. Hovedparten af notatet kan dog også være relevant</w:t>
      </w:r>
      <w:r w:rsidR="001A72CC" w:rsidRPr="00BC22E7">
        <w:rPr>
          <w:rFonts w:asciiTheme="minorHAnsi" w:hAnsiTheme="minorHAnsi"/>
        </w:rPr>
        <w:t xml:space="preserve"> for</w:t>
      </w:r>
      <w:r w:rsidR="008E2FB8" w:rsidRPr="00BC22E7">
        <w:rPr>
          <w:rFonts w:asciiTheme="minorHAnsi" w:hAnsiTheme="minorHAnsi"/>
        </w:rPr>
        <w:t xml:space="preserve"> andre sager, hvor der stilles krav om vurdering af en aktivitets eller et projekts påvirkning på bilag IV-arters yngle- eller rasteområder.</w:t>
      </w:r>
    </w:p>
    <w:p w14:paraId="2F8AE2CE" w14:textId="77777777" w:rsidR="00415A13" w:rsidRDefault="00415A13" w:rsidP="00E7224B">
      <w:pPr>
        <w:ind w:right="-1759"/>
        <w:jc w:val="both"/>
        <w:rPr>
          <w:rFonts w:asciiTheme="minorHAnsi" w:hAnsiTheme="minorHAnsi"/>
        </w:rPr>
      </w:pPr>
    </w:p>
    <w:p w14:paraId="637D3707" w14:textId="2C218248" w:rsidR="00E7224B" w:rsidRDefault="00E7224B" w:rsidP="00E7224B">
      <w:pPr>
        <w:ind w:right="-1759"/>
        <w:jc w:val="both"/>
        <w:rPr>
          <w:rFonts w:asciiTheme="minorHAnsi" w:hAnsiTheme="minorHAnsi"/>
        </w:rPr>
      </w:pPr>
      <w:r>
        <w:rPr>
          <w:rFonts w:asciiTheme="minorHAnsi" w:hAnsiTheme="minorHAnsi"/>
        </w:rPr>
        <w:t xml:space="preserve">Notatet er </w:t>
      </w:r>
      <w:r w:rsidRPr="00CC24BF">
        <w:rPr>
          <w:rFonts w:asciiTheme="minorHAnsi" w:hAnsiTheme="minorHAnsi"/>
          <w:i/>
        </w:rPr>
        <w:t>ikke</w:t>
      </w:r>
      <w:r>
        <w:rPr>
          <w:rFonts w:asciiTheme="minorHAnsi" w:hAnsiTheme="minorHAnsi"/>
        </w:rPr>
        <w:t xml:space="preserve"> udtømmende i forhold til habitatdirektivets art</w:t>
      </w:r>
      <w:r w:rsidR="00CE01CE">
        <w:rPr>
          <w:rFonts w:asciiTheme="minorHAnsi" w:hAnsiTheme="minorHAnsi"/>
        </w:rPr>
        <w:t>ikel</w:t>
      </w:r>
      <w:r>
        <w:rPr>
          <w:rFonts w:asciiTheme="minorHAnsi" w:hAnsiTheme="minorHAnsi"/>
        </w:rPr>
        <w:t xml:space="preserve"> 12, stk. 1, litra d), og </w:t>
      </w:r>
      <w:r w:rsidR="00FA3BBE">
        <w:rPr>
          <w:rFonts w:asciiTheme="minorHAnsi" w:hAnsiTheme="minorHAnsi"/>
        </w:rPr>
        <w:t>erstatter ikke</w:t>
      </w:r>
      <w:r>
        <w:rPr>
          <w:rFonts w:asciiTheme="minorHAnsi" w:hAnsiTheme="minorHAnsi"/>
        </w:rPr>
        <w:t xml:space="preserve"> Miljøstyrelsens v</w:t>
      </w:r>
      <w:r w:rsidRPr="00DD053C">
        <w:rPr>
          <w:rFonts w:asciiTheme="minorHAnsi" w:hAnsiTheme="minorHAnsi"/>
        </w:rPr>
        <w:t>ejledning til bekendtgørelse nr. 1595</w:t>
      </w:r>
      <w:r>
        <w:rPr>
          <w:rFonts w:asciiTheme="minorHAnsi" w:hAnsiTheme="minorHAnsi"/>
        </w:rPr>
        <w:t xml:space="preserve"> </w:t>
      </w:r>
      <w:r w:rsidRPr="00DD053C">
        <w:rPr>
          <w:rFonts w:asciiTheme="minorHAnsi" w:hAnsiTheme="minorHAnsi"/>
        </w:rPr>
        <w:t>af 6. december 2018 om udpegning og administration af internationale naturbeskyttelsesområder samt beskyttelse af visse arter</w:t>
      </w:r>
      <w:r>
        <w:rPr>
          <w:rFonts w:asciiTheme="minorHAnsi" w:hAnsiTheme="minorHAnsi"/>
        </w:rPr>
        <w:t xml:space="preserve"> (</w:t>
      </w:r>
      <w:r w:rsidRPr="00DD053C">
        <w:rPr>
          <w:rFonts w:asciiTheme="minorHAnsi" w:hAnsiTheme="minorHAnsi"/>
          <w:i/>
        </w:rPr>
        <w:t>habitatvejledningen</w:t>
      </w:r>
      <w:r>
        <w:rPr>
          <w:rFonts w:asciiTheme="minorHAnsi" w:hAnsiTheme="minorHAnsi"/>
        </w:rPr>
        <w:t>)</w:t>
      </w:r>
      <w:r w:rsidR="00FA3BBE">
        <w:rPr>
          <w:rFonts w:asciiTheme="minorHAnsi" w:hAnsiTheme="minorHAnsi"/>
        </w:rPr>
        <w:t>.</w:t>
      </w:r>
      <w:r>
        <w:rPr>
          <w:rStyle w:val="Fodnotehenvisning"/>
        </w:rPr>
        <w:footnoteReference w:id="4"/>
      </w:r>
      <w:r>
        <w:rPr>
          <w:rFonts w:asciiTheme="minorHAnsi" w:hAnsiTheme="minorHAnsi"/>
        </w:rPr>
        <w:t xml:space="preserve"> </w:t>
      </w:r>
    </w:p>
    <w:p w14:paraId="2CF3F4EA" w14:textId="77777777" w:rsidR="008E2FB8" w:rsidRDefault="008E2FB8" w:rsidP="00E7224B">
      <w:pPr>
        <w:ind w:right="-1759"/>
        <w:jc w:val="both"/>
        <w:rPr>
          <w:rFonts w:asciiTheme="minorHAnsi" w:hAnsiTheme="minorHAnsi"/>
        </w:rPr>
      </w:pPr>
    </w:p>
    <w:p w14:paraId="5879CA24" w14:textId="0BA1C66C" w:rsidR="001A72CC" w:rsidRDefault="00E7224B" w:rsidP="00E7224B">
      <w:pPr>
        <w:ind w:right="-1759"/>
        <w:jc w:val="both"/>
        <w:rPr>
          <w:rFonts w:eastAsia="Calibri"/>
          <w:lang w:eastAsia="en-US"/>
        </w:rPr>
      </w:pPr>
      <w:r>
        <w:rPr>
          <w:rFonts w:asciiTheme="minorHAnsi" w:hAnsiTheme="minorHAnsi"/>
        </w:rPr>
        <w:t xml:space="preserve">Dernæst skal det tilføjes, at det i miljøkonsekvensrapporten for et projekt, som kan skade </w:t>
      </w:r>
      <w:r w:rsidRPr="00363BBB">
        <w:rPr>
          <w:rFonts w:eastAsia="Calibri"/>
          <w:lang w:eastAsia="en-US"/>
        </w:rPr>
        <w:t>b</w:t>
      </w:r>
      <w:r>
        <w:rPr>
          <w:rFonts w:eastAsia="Calibri"/>
          <w:lang w:eastAsia="en-US"/>
        </w:rPr>
        <w:t>ilag IV-arter, udover vurderingen af, om projektet kan beskadige eller ødelægge bilag IV-arters yngle- eller rasteområder, skal fremgå</w:t>
      </w:r>
      <w:r w:rsidRPr="00363BBB">
        <w:rPr>
          <w:rFonts w:eastAsia="Calibri"/>
          <w:lang w:eastAsia="en-US"/>
        </w:rPr>
        <w:t xml:space="preserve">, om </w:t>
      </w:r>
      <w:r w:rsidRPr="00E04BEE">
        <w:rPr>
          <w:rFonts w:eastAsia="Calibri"/>
          <w:lang w:eastAsia="en-US"/>
        </w:rPr>
        <w:t>projektet faktisk vil kunne gennemføres</w:t>
      </w:r>
      <w:r w:rsidRPr="00363BBB">
        <w:rPr>
          <w:rFonts w:eastAsia="Calibri"/>
          <w:lang w:eastAsia="en-US"/>
        </w:rPr>
        <w:t xml:space="preserve">, uden at der sker forsætligt drab </w:t>
      </w:r>
      <w:r>
        <w:rPr>
          <w:rFonts w:eastAsia="Calibri"/>
          <w:lang w:eastAsia="en-US"/>
        </w:rPr>
        <w:t>eller</w:t>
      </w:r>
      <w:r w:rsidRPr="00363BBB">
        <w:rPr>
          <w:rFonts w:eastAsia="Calibri"/>
          <w:lang w:eastAsia="en-US"/>
        </w:rPr>
        <w:t xml:space="preserve"> forstyrrelse af bilag IV-arter i strid med </w:t>
      </w:r>
      <w:r>
        <w:rPr>
          <w:rFonts w:eastAsia="Calibri"/>
          <w:lang w:eastAsia="en-US"/>
        </w:rPr>
        <w:t xml:space="preserve">de øvrige </w:t>
      </w:r>
      <w:r w:rsidRPr="00CC24BF">
        <w:rPr>
          <w:rFonts w:eastAsia="Calibri"/>
          <w:lang w:eastAsia="en-US"/>
        </w:rPr>
        <w:t xml:space="preserve">forbud i </w:t>
      </w:r>
      <w:r>
        <w:rPr>
          <w:rFonts w:eastAsia="Calibri"/>
          <w:lang w:eastAsia="en-US"/>
        </w:rPr>
        <w:t xml:space="preserve">habitatdirektivets </w:t>
      </w:r>
      <w:r w:rsidRPr="00CC24BF">
        <w:rPr>
          <w:rFonts w:eastAsia="Calibri"/>
          <w:lang w:eastAsia="en-US"/>
        </w:rPr>
        <w:t>artikel 12, stk. 1</w:t>
      </w:r>
      <w:r>
        <w:rPr>
          <w:rFonts w:eastAsia="Calibri"/>
          <w:lang w:eastAsia="en-US"/>
        </w:rPr>
        <w:t>.</w:t>
      </w:r>
      <w:r>
        <w:rPr>
          <w:rStyle w:val="Fodnotehenvisning"/>
          <w:rFonts w:eastAsia="Calibri"/>
          <w:lang w:eastAsia="en-US"/>
        </w:rPr>
        <w:footnoteReference w:id="5"/>
      </w:r>
      <w:r>
        <w:rPr>
          <w:rFonts w:eastAsia="Calibri"/>
          <w:lang w:eastAsia="en-US"/>
        </w:rPr>
        <w:t xml:space="preserve"> Disse forbud omtales ikke nærmere i nærværende notat. </w:t>
      </w:r>
      <w:r w:rsidR="001A72CC">
        <w:rPr>
          <w:rFonts w:eastAsia="Calibri"/>
          <w:lang w:eastAsia="en-US"/>
        </w:rPr>
        <w:br w:type="page"/>
      </w:r>
    </w:p>
    <w:p w14:paraId="534CA3FD" w14:textId="77777777" w:rsidR="00E7224B" w:rsidRPr="00596C0F" w:rsidRDefault="00E7224B" w:rsidP="00E2620C">
      <w:pPr>
        <w:pStyle w:val="Deloverskrift"/>
      </w:pPr>
      <w:r w:rsidRPr="00596C0F">
        <w:lastRenderedPageBreak/>
        <w:t>Del A. DET RETLIGE GRUNDLAG FOR VURDERINGEN</w:t>
      </w:r>
    </w:p>
    <w:p w14:paraId="3E3C03BE" w14:textId="37D36C67" w:rsidR="00E7224B" w:rsidRPr="008C0CBF" w:rsidRDefault="00E7224B" w:rsidP="00E7224B">
      <w:pPr>
        <w:ind w:right="-1759"/>
        <w:jc w:val="both"/>
      </w:pPr>
      <w:r>
        <w:t xml:space="preserve">Habitatdirektivets artikel 12, stk. 1, forpligter medlemsstaterne til at træffe de nødvendige foranstaltninger til at indføre en streng beskyttelsesordning </w:t>
      </w:r>
      <w:r w:rsidRPr="00FF0B7A">
        <w:rPr>
          <w:color w:val="000000"/>
        </w:rPr>
        <w:t xml:space="preserve">for de dyrearter, der er nævnt i </w:t>
      </w:r>
      <w:r>
        <w:rPr>
          <w:color w:val="000000"/>
        </w:rPr>
        <w:t>direktivets bilag IV, litra a</w:t>
      </w:r>
      <w:r w:rsidRPr="00563EBD">
        <w:t xml:space="preserve">). Ordningen </w:t>
      </w:r>
      <w:r>
        <w:t>skal efter bestemmelsens litra d)</w:t>
      </w:r>
      <w:r w:rsidRPr="00563EBD">
        <w:t xml:space="preserve"> blandt andet omfatte et </w:t>
      </w:r>
      <w:r w:rsidRPr="00C1570A">
        <w:rPr>
          <w:i/>
        </w:rPr>
        <w:t>forbud mod beskadigelse eller ødelæggelse af bilag IV-arters yngle- eller rasteområder</w:t>
      </w:r>
      <w:r w:rsidRPr="00563EBD">
        <w:t>.</w:t>
      </w:r>
      <w:r>
        <w:t xml:space="preserve"> Formålet med bestemmelsen er at beskytte </w:t>
      </w:r>
      <w:r w:rsidRPr="00FF753F">
        <w:rPr>
          <w:i/>
        </w:rPr>
        <w:t>vigtige</w:t>
      </w:r>
      <w:r>
        <w:t xml:space="preserve"> dele i bilag IV-arte</w:t>
      </w:r>
      <w:r w:rsidR="009245EE">
        <w:t>rne</w:t>
      </w:r>
      <w:r>
        <w:t>s levesteder, således at disse dele fortsat frembyder de vilkår, der er nødvendige for, at de berørte dyrearter inden for dette område kan raste eller yngle med succes.</w:t>
      </w:r>
      <w:r>
        <w:rPr>
          <w:rStyle w:val="Fodnotehenvisning"/>
        </w:rPr>
        <w:footnoteReference w:id="6"/>
      </w:r>
      <w:r>
        <w:t xml:space="preserve"> </w:t>
      </w:r>
      <w:r>
        <w:rPr>
          <w:color w:val="000000"/>
        </w:rPr>
        <w:t>Bestemmelsen er i dansk ret bl</w:t>
      </w:r>
      <w:r w:rsidR="00143867">
        <w:rPr>
          <w:color w:val="000000"/>
        </w:rPr>
        <w:t>andt andet</w:t>
      </w:r>
      <w:r>
        <w:rPr>
          <w:color w:val="000000"/>
        </w:rPr>
        <w:t xml:space="preserve"> </w:t>
      </w:r>
      <w:r w:rsidR="009245EE">
        <w:rPr>
          <w:color w:val="000000"/>
        </w:rPr>
        <w:t xml:space="preserve">gennemført </w:t>
      </w:r>
      <w:r>
        <w:rPr>
          <w:color w:val="000000"/>
        </w:rPr>
        <w:t>i habitatbekendtgørelsens § 10, stk. 1, nr. 1</w:t>
      </w:r>
      <w:r w:rsidR="00A31A1B">
        <w:rPr>
          <w:color w:val="000000"/>
        </w:rPr>
        <w:t xml:space="preserve">, og i </w:t>
      </w:r>
      <w:r w:rsidR="00A31A1B">
        <w:t>tilsvarende regler på andre ministeriers områder</w:t>
      </w:r>
      <w:r w:rsidR="00A31A1B">
        <w:rPr>
          <w:color w:val="000000"/>
        </w:rPr>
        <w:t>.</w:t>
      </w:r>
    </w:p>
    <w:p w14:paraId="1F6859E8" w14:textId="77777777" w:rsidR="00E7224B" w:rsidRDefault="00E7224B" w:rsidP="00E7224B">
      <w:pPr>
        <w:ind w:right="-1759"/>
        <w:jc w:val="both"/>
        <w:rPr>
          <w:color w:val="000000"/>
        </w:rPr>
      </w:pPr>
    </w:p>
    <w:p w14:paraId="014DD082" w14:textId="5CA772EE" w:rsidR="00E7224B" w:rsidRDefault="00E7224B" w:rsidP="00E7224B">
      <w:pPr>
        <w:ind w:right="-1759"/>
        <w:jc w:val="both"/>
        <w:rPr>
          <w:color w:val="000000"/>
        </w:rPr>
      </w:pPr>
      <w:r>
        <w:rPr>
          <w:color w:val="000000"/>
        </w:rPr>
        <w:t xml:space="preserve">Det fremgår af habitatbekendtgørelsens § 10, stk. 1, nr. 1, at </w:t>
      </w:r>
      <w:r w:rsidRPr="00563EBD">
        <w:rPr>
          <w:color w:val="000000"/>
        </w:rPr>
        <w:t xml:space="preserve">der ved administration af de i </w:t>
      </w:r>
      <w:r>
        <w:rPr>
          <w:color w:val="000000"/>
        </w:rPr>
        <w:t xml:space="preserve">habitatbekendtgørelsens </w:t>
      </w:r>
      <w:r w:rsidRPr="00563EBD">
        <w:rPr>
          <w:color w:val="000000"/>
        </w:rPr>
        <w:t>§</w:t>
      </w:r>
      <w:r>
        <w:rPr>
          <w:color w:val="000000"/>
        </w:rPr>
        <w:t>§</w:t>
      </w:r>
      <w:r w:rsidRPr="00563EBD">
        <w:rPr>
          <w:color w:val="000000"/>
        </w:rPr>
        <w:t xml:space="preserve"> 7 og 8 nævnte bestemmelser ikke kan gives tilladelse, dispensation, godkendelse mv., hvis det ansøgte kan beskadige eller ødelægge yngle- eller rasteområder i det naturlige udbredelsesområde for bilag IV-arter.</w:t>
      </w:r>
      <w:r>
        <w:rPr>
          <w:color w:val="000000"/>
        </w:rPr>
        <w:t xml:space="preserve"> </w:t>
      </w:r>
      <w:r w:rsidRPr="00563EBD">
        <w:rPr>
          <w:color w:val="000000"/>
        </w:rPr>
        <w:t>De nævnte bestemmelser</w:t>
      </w:r>
      <w:r>
        <w:rPr>
          <w:color w:val="000000"/>
        </w:rPr>
        <w:t xml:space="preserve"> i habitatbekendtgørelsens § 7</w:t>
      </w:r>
      <w:r w:rsidRPr="00563EBD">
        <w:rPr>
          <w:color w:val="000000"/>
        </w:rPr>
        <w:t xml:space="preserve"> omfatter</w:t>
      </w:r>
      <w:r w:rsidR="00CE01CE">
        <w:rPr>
          <w:color w:val="000000"/>
        </w:rPr>
        <w:t xml:space="preserve"> blandt andet</w:t>
      </w:r>
      <w:r w:rsidRPr="00563EBD">
        <w:rPr>
          <w:color w:val="000000"/>
        </w:rPr>
        <w:t xml:space="preserve"> miljøvurderingslovens § 25</w:t>
      </w:r>
      <w:r w:rsidR="00CE01CE">
        <w:rPr>
          <w:color w:val="000000"/>
        </w:rPr>
        <w:t xml:space="preserve"> (§ 25-</w:t>
      </w:r>
      <w:r w:rsidR="00CE01CE" w:rsidRPr="00CE01CE">
        <w:rPr>
          <w:i/>
          <w:color w:val="000000"/>
        </w:rPr>
        <w:t>tilladelse</w:t>
      </w:r>
      <w:r w:rsidR="00CE01CE">
        <w:rPr>
          <w:i/>
          <w:color w:val="000000"/>
        </w:rPr>
        <w:t>r</w:t>
      </w:r>
      <w:r w:rsidR="00CE01CE">
        <w:rPr>
          <w:color w:val="000000"/>
        </w:rPr>
        <w:t>),</w:t>
      </w:r>
      <w:r w:rsidRPr="00563EBD">
        <w:rPr>
          <w:color w:val="000000"/>
        </w:rPr>
        <w:t xml:space="preserve"> jf. </w:t>
      </w:r>
      <w:r>
        <w:rPr>
          <w:color w:val="000000"/>
        </w:rPr>
        <w:t>habitat</w:t>
      </w:r>
      <w:r w:rsidRPr="00563EBD">
        <w:rPr>
          <w:color w:val="000000"/>
        </w:rPr>
        <w:t>bekend</w:t>
      </w:r>
      <w:r>
        <w:rPr>
          <w:color w:val="000000"/>
        </w:rPr>
        <w:t xml:space="preserve">tgørelsens § 7, stk. 13, nr. 2. </w:t>
      </w:r>
    </w:p>
    <w:p w14:paraId="2144B9AF" w14:textId="77777777" w:rsidR="00E7224B" w:rsidRDefault="00E7224B" w:rsidP="00E7224B">
      <w:pPr>
        <w:ind w:right="-1759"/>
        <w:jc w:val="both"/>
        <w:rPr>
          <w:color w:val="000000"/>
        </w:rPr>
      </w:pPr>
    </w:p>
    <w:p w14:paraId="3D69DAAC" w14:textId="59D8D929" w:rsidR="00A276E5" w:rsidRDefault="00E7224B" w:rsidP="00E7224B">
      <w:pPr>
        <w:ind w:right="-1759"/>
        <w:jc w:val="both"/>
      </w:pPr>
      <w:r w:rsidRPr="007407F6">
        <w:rPr>
          <w:color w:val="000000"/>
        </w:rPr>
        <w:t>Ved meddelelse af en § 25-tilladelse skal myndigheden således sikre sig, at projektet ikke vil beskadige eller ødelægge yngle- eller rasteområder i det naturlige udbredelsesområde for bilag IV-arter</w:t>
      </w:r>
      <w:r w:rsidR="00A6230D">
        <w:rPr>
          <w:color w:val="000000"/>
        </w:rPr>
        <w:t xml:space="preserve">. </w:t>
      </w:r>
      <w:r>
        <w:t xml:space="preserve">Vurderingen </w:t>
      </w:r>
      <w:r w:rsidRPr="006D5D83">
        <w:rPr>
          <w:i/>
        </w:rPr>
        <w:t>skal</w:t>
      </w:r>
      <w:r>
        <w:t xml:space="preserve"> fremgå af § 25-tilladelsen</w:t>
      </w:r>
      <w:r w:rsidR="00727B4D">
        <w:t xml:space="preserve">, </w:t>
      </w:r>
      <w:r>
        <w:t>jf. habitatbekendtgørelsens § 10, stk. 2.</w:t>
      </w:r>
      <w:r w:rsidR="00543643">
        <w:t xml:space="preserve"> </w:t>
      </w:r>
      <w:r w:rsidR="00953029">
        <w:t xml:space="preserve"> </w:t>
      </w:r>
    </w:p>
    <w:p w14:paraId="25778108" w14:textId="77777777" w:rsidR="00E7224B" w:rsidRDefault="00E7224B" w:rsidP="00E7224B">
      <w:pPr>
        <w:ind w:right="-1759"/>
        <w:jc w:val="both"/>
      </w:pPr>
    </w:p>
    <w:p w14:paraId="21FB3D57" w14:textId="77777777" w:rsidR="00493996" w:rsidRDefault="00493996" w:rsidP="00493996">
      <w:pPr>
        <w:ind w:right="-1759"/>
        <w:jc w:val="both"/>
        <w:rPr>
          <w:color w:val="000000"/>
        </w:rPr>
      </w:pPr>
      <w:r w:rsidRPr="00C1570A">
        <w:rPr>
          <w:color w:val="000000"/>
        </w:rPr>
        <w:t xml:space="preserve">Hvis en eventuel beskadigelse eller ødelæggelse af bilag IV-arters yngle- eller rasteområder ikke med en </w:t>
      </w:r>
      <w:r w:rsidRPr="006D5D83">
        <w:rPr>
          <w:i/>
          <w:color w:val="000000"/>
        </w:rPr>
        <w:t>høj grad</w:t>
      </w:r>
      <w:r>
        <w:rPr>
          <w:rStyle w:val="Fodnotehenvisning"/>
          <w:color w:val="000000"/>
        </w:rPr>
        <w:footnoteReference w:id="7"/>
      </w:r>
      <w:r w:rsidRPr="00C1570A">
        <w:rPr>
          <w:color w:val="000000"/>
        </w:rPr>
        <w:t xml:space="preserve"> af sikkerhed kan udelukkes eller afværges, kan projektet kun tillades efter fravigelsesbestemmelser i habitatbekendt</w:t>
      </w:r>
      <w:r>
        <w:rPr>
          <w:color w:val="000000"/>
        </w:rPr>
        <w:t>gørelsen § 11 (jf. herom nedenfor under del B, pkt. 6).</w:t>
      </w:r>
    </w:p>
    <w:p w14:paraId="7229F4AD" w14:textId="77777777" w:rsidR="00493996" w:rsidRDefault="00493996" w:rsidP="00671720">
      <w:pPr>
        <w:ind w:right="-1759"/>
        <w:jc w:val="both"/>
        <w:rPr>
          <w:color w:val="000000"/>
        </w:rPr>
      </w:pPr>
    </w:p>
    <w:p w14:paraId="50969626" w14:textId="3FDF73EE" w:rsidR="00832939" w:rsidRDefault="00671720" w:rsidP="00671720">
      <w:pPr>
        <w:ind w:right="-1759"/>
        <w:jc w:val="both"/>
        <w:rPr>
          <w:color w:val="000000"/>
        </w:rPr>
      </w:pPr>
      <w:r w:rsidRPr="00895BA0">
        <w:rPr>
          <w:color w:val="000000"/>
        </w:rPr>
        <w:t xml:space="preserve">Det er den kompetente myndigheds ansvar i overensstemmelse med det almindelige forvaltningsretlige undersøgelsesprincip </w:t>
      </w:r>
      <w:r w:rsidR="00493996">
        <w:rPr>
          <w:color w:val="000000"/>
        </w:rPr>
        <w:t xml:space="preserve">(officialprincip) </w:t>
      </w:r>
      <w:r w:rsidRPr="00895BA0">
        <w:rPr>
          <w:color w:val="000000"/>
        </w:rPr>
        <w:t xml:space="preserve">at sikre sig, at der er tilvejebragt </w:t>
      </w:r>
      <w:r w:rsidRPr="0076226A">
        <w:rPr>
          <w:i/>
          <w:color w:val="000000"/>
        </w:rPr>
        <w:t>tilstrækkelige oplysninger</w:t>
      </w:r>
      <w:r w:rsidRPr="00895BA0">
        <w:rPr>
          <w:color w:val="000000"/>
        </w:rPr>
        <w:t xml:space="preserve"> til at kunne vurdere, om yngle- eller rasteområder for bilag IV-arter beskadiges eller ødelægges.</w:t>
      </w:r>
      <w:r>
        <w:rPr>
          <w:color w:val="000000"/>
        </w:rPr>
        <w:t xml:space="preserve"> </w:t>
      </w:r>
      <w:r w:rsidR="003F4C03" w:rsidRPr="0076226A">
        <w:rPr>
          <w:color w:val="000000"/>
        </w:rPr>
        <w:t xml:space="preserve">Formålet med </w:t>
      </w:r>
      <w:r w:rsidR="003F4C03">
        <w:rPr>
          <w:color w:val="000000"/>
        </w:rPr>
        <w:t>undersøgelsesprincippet</w:t>
      </w:r>
      <w:r w:rsidR="003F4C03" w:rsidRPr="0076226A">
        <w:rPr>
          <w:color w:val="000000"/>
        </w:rPr>
        <w:t xml:space="preserve"> er at understøtte, at der træffes materielt lovlige og rigtige afgørelser. </w:t>
      </w:r>
    </w:p>
    <w:p w14:paraId="00996701" w14:textId="77777777" w:rsidR="00832939" w:rsidRDefault="00832939" w:rsidP="00671720">
      <w:pPr>
        <w:ind w:right="-1759"/>
        <w:jc w:val="both"/>
        <w:rPr>
          <w:color w:val="000000"/>
        </w:rPr>
      </w:pPr>
    </w:p>
    <w:p w14:paraId="2B434B38" w14:textId="3B216E41" w:rsidR="00493996" w:rsidRPr="00D579B2" w:rsidRDefault="003F4C03" w:rsidP="00671720">
      <w:pPr>
        <w:ind w:right="-1759"/>
        <w:jc w:val="both"/>
      </w:pPr>
      <w:r w:rsidRPr="0076226A">
        <w:rPr>
          <w:color w:val="000000"/>
        </w:rPr>
        <w:t xml:space="preserve">Undersøgelsesprincippet betyder </w:t>
      </w:r>
      <w:r w:rsidR="00832939">
        <w:rPr>
          <w:color w:val="000000"/>
        </w:rPr>
        <w:t xml:space="preserve">dog </w:t>
      </w:r>
      <w:r w:rsidRPr="0076226A">
        <w:rPr>
          <w:color w:val="000000"/>
        </w:rPr>
        <w:t>ikke</w:t>
      </w:r>
      <w:r w:rsidR="00F92CBA">
        <w:rPr>
          <w:color w:val="000000"/>
        </w:rPr>
        <w:t xml:space="preserve"> nødvendigvis</w:t>
      </w:r>
      <w:r w:rsidRPr="0076226A">
        <w:rPr>
          <w:color w:val="000000"/>
        </w:rPr>
        <w:t xml:space="preserve">, at myndigheden selv skal fremskaffe de nødvendige oplysninger. Det fremgår udtrykkeligt af miljøvurderingslovens § 20, stk. 1, at </w:t>
      </w:r>
      <w:r w:rsidR="00832939" w:rsidRPr="003B31FF">
        <w:rPr>
          <w:color w:val="000000"/>
        </w:rPr>
        <w:t xml:space="preserve">det i sager, der er </w:t>
      </w:r>
      <w:r w:rsidRPr="0076226A">
        <w:rPr>
          <w:color w:val="000000"/>
        </w:rPr>
        <w:t>omfattet af kravet om</w:t>
      </w:r>
      <w:r w:rsidR="00F92CBA">
        <w:rPr>
          <w:color w:val="000000"/>
        </w:rPr>
        <w:t xml:space="preserve"> § 25-tilladelse</w:t>
      </w:r>
      <w:r w:rsidR="00832939">
        <w:rPr>
          <w:color w:val="000000"/>
        </w:rPr>
        <w:t xml:space="preserve">, </w:t>
      </w:r>
      <w:r w:rsidRPr="0076226A">
        <w:rPr>
          <w:color w:val="000000"/>
        </w:rPr>
        <w:t xml:space="preserve">er bygherren, der har ansvaret for at udarbejde og fremlægge </w:t>
      </w:r>
      <w:r w:rsidR="0069760C">
        <w:rPr>
          <w:color w:val="000000"/>
        </w:rPr>
        <w:t xml:space="preserve">en </w:t>
      </w:r>
      <w:r w:rsidR="0069760C" w:rsidRPr="00493996">
        <w:rPr>
          <w:color w:val="000000"/>
        </w:rPr>
        <w:t>miljøkonsekvensrapport</w:t>
      </w:r>
      <w:r w:rsidR="00832939">
        <w:rPr>
          <w:color w:val="000000"/>
        </w:rPr>
        <w:t xml:space="preserve"> for projektet. Miljøkonsekvensrapporten skal opfylde de indholdsmæssige krav, der er angivet i miljøvurderingslovens </w:t>
      </w:r>
      <w:r w:rsidR="0069760C">
        <w:rPr>
          <w:color w:val="000000"/>
        </w:rPr>
        <w:t>§ 20</w:t>
      </w:r>
      <w:r w:rsidR="000B1A42">
        <w:rPr>
          <w:color w:val="000000"/>
        </w:rPr>
        <w:t xml:space="preserve"> samt i lovens bilag 7. </w:t>
      </w:r>
      <w:r w:rsidR="00CD036A">
        <w:rPr>
          <w:color w:val="000000"/>
        </w:rPr>
        <w:t xml:space="preserve">Oplysningerne i </w:t>
      </w:r>
      <w:r w:rsidR="00F92CBA">
        <w:rPr>
          <w:color w:val="000000"/>
        </w:rPr>
        <w:t>miljøkonsekvens</w:t>
      </w:r>
      <w:r w:rsidR="00CD036A">
        <w:rPr>
          <w:color w:val="000000"/>
        </w:rPr>
        <w:t xml:space="preserve">rapporten skal </w:t>
      </w:r>
      <w:r w:rsidR="002B78CA">
        <w:rPr>
          <w:color w:val="000000"/>
        </w:rPr>
        <w:t xml:space="preserve">bl.a. </w:t>
      </w:r>
      <w:r w:rsidR="00CD036A">
        <w:rPr>
          <w:color w:val="000000"/>
        </w:rPr>
        <w:t xml:space="preserve">på en passende måde påvise, </w:t>
      </w:r>
      <w:r w:rsidR="00CD036A">
        <w:t xml:space="preserve">beskrive og vurdere projektets </w:t>
      </w:r>
      <w:r w:rsidR="00CD036A" w:rsidRPr="00D579B2">
        <w:rPr>
          <w:i/>
        </w:rPr>
        <w:t>væsentlige direkte og indirekte virkninger på</w:t>
      </w:r>
      <w:r w:rsidR="002B78CA" w:rsidRPr="00D579B2">
        <w:rPr>
          <w:i/>
        </w:rPr>
        <w:t xml:space="preserve"> </w:t>
      </w:r>
      <w:r w:rsidR="00CD036A" w:rsidRPr="00D579B2">
        <w:rPr>
          <w:i/>
        </w:rPr>
        <w:t>den biologiske mangfoldighed</w:t>
      </w:r>
      <w:r w:rsidR="00CD036A" w:rsidRPr="003B31FF">
        <w:t xml:space="preserve"> </w:t>
      </w:r>
      <w:r w:rsidR="00CD036A">
        <w:t>med sær</w:t>
      </w:r>
      <w:r w:rsidR="00CD036A">
        <w:lastRenderedPageBreak/>
        <w:t>lig vægt på de arter og naturtyper, der er beskyttet i henhold til habitat- og fuglebeskyttelsesdirektivet.</w:t>
      </w:r>
      <w:r w:rsidR="00CD036A">
        <w:rPr>
          <w:rStyle w:val="Fodnotehenvisning"/>
        </w:rPr>
        <w:footnoteReference w:id="8"/>
      </w:r>
      <w:r w:rsidR="002B78CA">
        <w:t xml:space="preserve"> </w:t>
      </w:r>
      <w:r w:rsidR="000B1A42">
        <w:t xml:space="preserve">Men også i disse sager, hvor det er bygherren, der har ansvaret for at udarbejde og fremlægge miljøkonsekvensrapporten, har myndigheden et </w:t>
      </w:r>
      <w:r w:rsidR="00E1071C">
        <w:rPr>
          <w:color w:val="000000"/>
        </w:rPr>
        <w:t xml:space="preserve">selvstændigt ansvar til at foretage en </w:t>
      </w:r>
      <w:r w:rsidR="0069760C">
        <w:rPr>
          <w:color w:val="000000"/>
        </w:rPr>
        <w:t>afvejning og vurdering af de oplysninger m.v., som bygherren har fremlagt, samt af de øvrige oplysninger, der indgår i sagen.</w:t>
      </w:r>
      <w:r w:rsidR="00832939">
        <w:rPr>
          <w:rStyle w:val="Fodnotehenvisning"/>
          <w:color w:val="000000"/>
        </w:rPr>
        <w:footnoteReference w:id="9"/>
      </w:r>
      <w:r w:rsidR="0069760C">
        <w:rPr>
          <w:color w:val="000000"/>
        </w:rPr>
        <w:t xml:space="preserve"> </w:t>
      </w:r>
      <w:r w:rsidR="00E1071C">
        <w:rPr>
          <w:color w:val="000000"/>
        </w:rPr>
        <w:t>Det er ligeledes myndigheden, der har ansvaret for at vurdere, hvorvidt der i den konkrete sag er behov for at indhente yderligere oplysninger m.v.</w:t>
      </w:r>
    </w:p>
    <w:p w14:paraId="27181E25" w14:textId="64723821" w:rsidR="00493996" w:rsidRDefault="00493996" w:rsidP="00671720">
      <w:pPr>
        <w:ind w:right="-1759"/>
        <w:jc w:val="both"/>
        <w:rPr>
          <w:color w:val="000000"/>
        </w:rPr>
      </w:pPr>
    </w:p>
    <w:p w14:paraId="4D210A9A" w14:textId="2595BFA1" w:rsidR="00671720" w:rsidRDefault="00493996" w:rsidP="00671720">
      <w:pPr>
        <w:ind w:right="-1759"/>
        <w:jc w:val="both"/>
        <w:rPr>
          <w:color w:val="000000"/>
        </w:rPr>
      </w:pPr>
      <w:r>
        <w:rPr>
          <w:color w:val="000000"/>
        </w:rPr>
        <w:t xml:space="preserve">Undersøgelsesprincippet samt omfanget og karateren af de oplysninger, der skal tilvejebringes for at kunne </w:t>
      </w:r>
      <w:r w:rsidR="00CD036A">
        <w:rPr>
          <w:color w:val="000000"/>
        </w:rPr>
        <w:t xml:space="preserve">vurdere, </w:t>
      </w:r>
      <w:r>
        <w:rPr>
          <w:color w:val="000000"/>
        </w:rPr>
        <w:t>om et projekt kan beskadige eller ødelægge bilag IV-arters yngle- eller rasteområder</w:t>
      </w:r>
      <w:r w:rsidR="00CD036A">
        <w:rPr>
          <w:color w:val="000000"/>
        </w:rPr>
        <w:t xml:space="preserve">, </w:t>
      </w:r>
      <w:r>
        <w:rPr>
          <w:color w:val="000000"/>
        </w:rPr>
        <w:t>uddybes i notatet ”</w:t>
      </w:r>
      <w:r w:rsidRPr="00D579B2">
        <w:rPr>
          <w:i/>
          <w:color w:val="000000"/>
        </w:rPr>
        <w:t>Notat om officialprincippet i miljøvurderingskontekst</w:t>
      </w:r>
      <w:r>
        <w:rPr>
          <w:color w:val="000000"/>
        </w:rPr>
        <w:t>”</w:t>
      </w:r>
      <w:r>
        <w:rPr>
          <w:rStyle w:val="Fodnotehenvisning"/>
          <w:color w:val="000000"/>
        </w:rPr>
        <w:footnoteReference w:id="10"/>
      </w:r>
      <w:r>
        <w:rPr>
          <w:color w:val="000000"/>
        </w:rPr>
        <w:t xml:space="preserve"> og behandles derfor ikke nærmere i </w:t>
      </w:r>
      <w:r w:rsidRPr="00493996">
        <w:rPr>
          <w:color w:val="000000"/>
        </w:rPr>
        <w:t>nærværende notat</w:t>
      </w:r>
      <w:r>
        <w:rPr>
          <w:color w:val="000000"/>
        </w:rPr>
        <w:t>.</w:t>
      </w:r>
      <w:r w:rsidR="00671720">
        <w:rPr>
          <w:color w:val="000000"/>
        </w:rPr>
        <w:tab/>
      </w:r>
    </w:p>
    <w:p w14:paraId="65CD1C35" w14:textId="77777777" w:rsidR="00E7224B" w:rsidRDefault="00E7224B" w:rsidP="00E7224B">
      <w:pPr>
        <w:ind w:right="-1759"/>
        <w:jc w:val="both"/>
        <w:rPr>
          <w:color w:val="000000"/>
        </w:rPr>
      </w:pPr>
    </w:p>
    <w:p w14:paraId="08C0112C" w14:textId="77777777" w:rsidR="00E7224B" w:rsidRPr="00E4138F" w:rsidRDefault="00E7224B" w:rsidP="002A2467">
      <w:pPr>
        <w:pStyle w:val="Deloverskrift"/>
      </w:pPr>
      <w:r w:rsidRPr="00E4138F">
        <w:t xml:space="preserve">Del B. </w:t>
      </w:r>
      <w:r>
        <w:t xml:space="preserve">VURDERINGSPROCESSEN OG </w:t>
      </w:r>
      <w:r w:rsidRPr="00E4138F">
        <w:t xml:space="preserve">DE </w:t>
      </w:r>
      <w:r>
        <w:t>CENTRALE</w:t>
      </w:r>
      <w:r w:rsidRPr="00E4138F">
        <w:t xml:space="preserve"> ELEMENTER I VURDERING</w:t>
      </w:r>
      <w:r>
        <w:t>EN</w:t>
      </w:r>
      <w:r w:rsidRPr="00E4138F">
        <w:t xml:space="preserve"> AF BILAG IV-ARTERS LEVESTEDER</w:t>
      </w:r>
    </w:p>
    <w:p w14:paraId="4B5F7863" w14:textId="77777777" w:rsidR="00E7224B" w:rsidRDefault="00E7224B" w:rsidP="00E7224B">
      <w:pPr>
        <w:ind w:right="-1759"/>
        <w:jc w:val="both"/>
        <w:rPr>
          <w:color w:val="000000"/>
        </w:rPr>
      </w:pPr>
      <w:r>
        <w:rPr>
          <w:color w:val="000000"/>
        </w:rPr>
        <w:t>Udgangspunktet efter habitatbekendtgørelsen er</w:t>
      </w:r>
      <w:r w:rsidRPr="00410A83">
        <w:rPr>
          <w:color w:val="000000"/>
        </w:rPr>
        <w:t>, a</w:t>
      </w:r>
      <w:r>
        <w:rPr>
          <w:color w:val="000000"/>
        </w:rPr>
        <w:t>t der ikke kan gives tilladelse m.v.,</w:t>
      </w:r>
      <w:r w:rsidRPr="00410A83">
        <w:rPr>
          <w:color w:val="000000"/>
        </w:rPr>
        <w:t xml:space="preserve"> hvis det ansøgte </w:t>
      </w:r>
      <w:r w:rsidRPr="000B39B5">
        <w:rPr>
          <w:i/>
          <w:color w:val="000000"/>
        </w:rPr>
        <w:t xml:space="preserve">kan </w:t>
      </w:r>
      <w:r w:rsidRPr="00410A83">
        <w:rPr>
          <w:color w:val="000000"/>
        </w:rPr>
        <w:t>beskadige eller ødelægge yngle- eller rasteområder for bilag IV-arter.</w:t>
      </w:r>
      <w:r>
        <w:rPr>
          <w:color w:val="000000"/>
        </w:rPr>
        <w:t xml:space="preserve"> Der er hverken i habitatdirektivet eller habitatbekendtgørelsen fastsat nærmere regler for, hvordan vurderingen af, om projektet kan beskadige eller ødelægge bilag IV-arters yngle- eller rasteområder skal foretages. </w:t>
      </w:r>
    </w:p>
    <w:p w14:paraId="289A38AC" w14:textId="77777777" w:rsidR="00E7224B" w:rsidRDefault="00E7224B" w:rsidP="00E7224B">
      <w:pPr>
        <w:ind w:right="-1759"/>
        <w:jc w:val="both"/>
        <w:rPr>
          <w:color w:val="000000"/>
        </w:rPr>
      </w:pPr>
    </w:p>
    <w:p w14:paraId="3F7CD5A2" w14:textId="77777777" w:rsidR="00E7224B" w:rsidRDefault="00E7224B" w:rsidP="00E7224B">
      <w:pPr>
        <w:ind w:right="-1759"/>
        <w:jc w:val="both"/>
        <w:rPr>
          <w:color w:val="000000"/>
        </w:rPr>
      </w:pPr>
      <w:r>
        <w:rPr>
          <w:color w:val="000000"/>
        </w:rPr>
        <w:t xml:space="preserve">Som beskrevet nedenfor </w:t>
      </w:r>
      <w:r w:rsidRPr="00410A83">
        <w:rPr>
          <w:color w:val="000000"/>
        </w:rPr>
        <w:t xml:space="preserve">er </w:t>
      </w:r>
      <w:r>
        <w:rPr>
          <w:color w:val="000000"/>
        </w:rPr>
        <w:t xml:space="preserve">det </w:t>
      </w:r>
      <w:r w:rsidRPr="00410A83">
        <w:rPr>
          <w:color w:val="000000"/>
        </w:rPr>
        <w:t xml:space="preserve">en forudsætning for meddelelse af en </w:t>
      </w:r>
      <w:r>
        <w:rPr>
          <w:color w:val="000000"/>
        </w:rPr>
        <w:t>§ 25-</w:t>
      </w:r>
      <w:r w:rsidRPr="00410A83">
        <w:rPr>
          <w:color w:val="000000"/>
        </w:rPr>
        <w:t>tilladelse</w:t>
      </w:r>
      <w:r>
        <w:rPr>
          <w:color w:val="000000"/>
        </w:rPr>
        <w:t xml:space="preserve">, at </w:t>
      </w:r>
      <w:r w:rsidRPr="00410A83">
        <w:rPr>
          <w:color w:val="000000"/>
        </w:rPr>
        <w:t xml:space="preserve">myndigheden har den nødvendige </w:t>
      </w:r>
      <w:r w:rsidRPr="00A67408">
        <w:rPr>
          <w:i/>
          <w:color w:val="000000"/>
        </w:rPr>
        <w:t>høje grad</w:t>
      </w:r>
      <w:r w:rsidRPr="00410A83">
        <w:rPr>
          <w:color w:val="000000"/>
        </w:rPr>
        <w:t xml:space="preserve"> af sikkerhed for, at</w:t>
      </w:r>
      <w:r>
        <w:rPr>
          <w:color w:val="000000"/>
        </w:rPr>
        <w:t xml:space="preserve"> yngle- eller rasteområder for bilag IV-arter ikke beskadiges eller ødelægges. </w:t>
      </w:r>
    </w:p>
    <w:p w14:paraId="331C75B4" w14:textId="011B9028" w:rsidR="00E7224B" w:rsidRDefault="00E7224B" w:rsidP="00E7224B">
      <w:pPr>
        <w:ind w:right="-1759"/>
        <w:jc w:val="both"/>
        <w:rPr>
          <w:color w:val="000000"/>
        </w:rPr>
      </w:pPr>
    </w:p>
    <w:p w14:paraId="65DC49AA" w14:textId="77777777" w:rsidR="00E7224B" w:rsidRDefault="00E7224B" w:rsidP="00E7224B">
      <w:pPr>
        <w:ind w:right="-1759"/>
        <w:jc w:val="both"/>
      </w:pPr>
      <w:r>
        <w:rPr>
          <w:color w:val="000000"/>
        </w:rPr>
        <w:t>Der kan ikke fastsættes entydige kriterier for omfanget og karakteren af de oplysninger, der er nødvendige for at opnå den nødvendige høje grad af sikkerhed, da dett</w:t>
      </w:r>
      <w:r w:rsidR="00CE01CE">
        <w:rPr>
          <w:color w:val="000000"/>
        </w:rPr>
        <w:t xml:space="preserve">e afhænger af den konkrete sag. </w:t>
      </w:r>
      <w:r>
        <w:rPr>
          <w:color w:val="000000"/>
        </w:rPr>
        <w:t xml:space="preserve">Vurderingen kræver dog som udgangspunkt et kendskab til det ansøgte projekt, herunder </w:t>
      </w:r>
      <w:r w:rsidRPr="00410A83">
        <w:rPr>
          <w:color w:val="000000"/>
        </w:rPr>
        <w:t xml:space="preserve">omfanget af projektets påvirkning </w:t>
      </w:r>
      <w:r>
        <w:rPr>
          <w:color w:val="000000"/>
        </w:rPr>
        <w:t xml:space="preserve">på lokaliteten samt den berørte lokalitets funktion og værdi for bilag IV-arter. </w:t>
      </w:r>
      <w:r w:rsidR="00E2620C">
        <w:rPr>
          <w:color w:val="000000"/>
        </w:rPr>
        <w:t xml:space="preserve">Som illustreret nedenfor i figur 1, kan en </w:t>
      </w:r>
      <w:r>
        <w:t>eventuel fravigelse af bilag IV-beskyttelsen først komme på tale, når</w:t>
      </w:r>
      <w:r w:rsidR="00E2620C">
        <w:t xml:space="preserve"> dette er undersøgt og beskrevet, og når det er vurderet, at den </w:t>
      </w:r>
      <w:r>
        <w:t xml:space="preserve">identificerede negative påvirkning ikke kan afværges ved hjælp af afværgeforanstaltninger. </w:t>
      </w:r>
    </w:p>
    <w:p w14:paraId="4F02DF57" w14:textId="77777777" w:rsidR="00E7224B" w:rsidRDefault="00E7224B" w:rsidP="00E7224B">
      <w:pPr>
        <w:ind w:right="-1759"/>
        <w:jc w:val="both"/>
      </w:pPr>
    </w:p>
    <w:p w14:paraId="3C3EEB9D" w14:textId="77777777" w:rsidR="00E7224B" w:rsidRDefault="00E7224B" w:rsidP="00E7224B">
      <w:pPr>
        <w:ind w:right="-1759"/>
        <w:jc w:val="both"/>
      </w:pPr>
      <w:r>
        <w:t xml:space="preserve">Nedenfor </w:t>
      </w:r>
      <w:r w:rsidR="00E2620C">
        <w:t>(</w:t>
      </w:r>
      <w:r w:rsidR="00E2620C" w:rsidRPr="00E2620C">
        <w:rPr>
          <w:i/>
        </w:rPr>
        <w:t>figur 1</w:t>
      </w:r>
      <w:r w:rsidR="00E2620C">
        <w:t xml:space="preserve">) </w:t>
      </w:r>
      <w:r>
        <w:t>illustreres de centrale elementer i vurderingsprocessen.</w:t>
      </w:r>
      <w:r>
        <w:br w:type="page"/>
      </w:r>
    </w:p>
    <w:p w14:paraId="54E1CC29" w14:textId="77777777" w:rsidR="00E7224B" w:rsidRDefault="00E7224B" w:rsidP="00E7224B">
      <w:pPr>
        <w:pStyle w:val="Billedtekst"/>
        <w:sectPr w:rsidR="00E7224B" w:rsidSect="0048667B">
          <w:headerReference w:type="default" r:id="rId8"/>
          <w:footerReference w:type="even" r:id="rId9"/>
          <w:footerReference w:type="default" r:id="rId10"/>
          <w:headerReference w:type="first" r:id="rId11"/>
          <w:footerReference w:type="first" r:id="rId12"/>
          <w:pgSz w:w="11906" w:h="16838" w:code="9"/>
          <w:pgMar w:top="2041" w:right="3175" w:bottom="1701" w:left="1418" w:header="459" w:footer="782" w:gutter="0"/>
          <w:pgNumType w:start="1"/>
          <w:cols w:space="708"/>
          <w:titlePg/>
          <w:docGrid w:linePitch="360"/>
        </w:sectPr>
      </w:pPr>
    </w:p>
    <w:p w14:paraId="756230D6" w14:textId="77777777" w:rsidR="00E7224B" w:rsidRDefault="00E7224B" w:rsidP="00E7224B">
      <w:pPr>
        <w:pStyle w:val="Billedtekst"/>
      </w:pPr>
      <w:r>
        <w:lastRenderedPageBreak/>
        <w:t xml:space="preserve">Figur </w:t>
      </w:r>
      <w:fldSimple w:instr=" SEQ Figur \* ARABIC ">
        <w:r>
          <w:rPr>
            <w:noProof/>
          </w:rPr>
          <w:t>1</w:t>
        </w:r>
      </w:fldSimple>
      <w:r>
        <w:t xml:space="preserve"> Illustration af vurderingsprocessen</w:t>
      </w:r>
    </w:p>
    <w:p w14:paraId="52F869D1" w14:textId="77777777" w:rsidR="00E7224B" w:rsidRDefault="00E7224B" w:rsidP="00E7224B">
      <w:pPr>
        <w:ind w:right="-1759"/>
        <w:jc w:val="both"/>
        <w:rPr>
          <w:color w:val="000000"/>
        </w:rPr>
      </w:pPr>
    </w:p>
    <w:p w14:paraId="1F005C4E" w14:textId="7E93BEC6" w:rsidR="00E7224B" w:rsidRDefault="007E7D8E" w:rsidP="00E7224B">
      <w:pPr>
        <w:ind w:right="-1759"/>
        <w:jc w:val="both"/>
        <w:rPr>
          <w:color w:val="000000"/>
        </w:rPr>
        <w:sectPr w:rsidR="00E7224B" w:rsidSect="002A2467">
          <w:pgSz w:w="16838" w:h="11906" w:orient="landscape" w:code="9"/>
          <w:pgMar w:top="1418" w:right="2041" w:bottom="3175" w:left="1701" w:header="459" w:footer="782" w:gutter="0"/>
          <w:cols w:space="708"/>
          <w:titlePg/>
          <w:docGrid w:linePitch="360"/>
        </w:sectPr>
      </w:pPr>
      <w:r>
        <w:rPr>
          <w:noProof/>
          <w:color w:val="000000"/>
        </w:rPr>
        <w:drawing>
          <wp:inline distT="0" distB="0" distL="0" distR="0" wp14:anchorId="2EED1FCD" wp14:editId="7A9573D3">
            <wp:extent cx="7617600" cy="3384000"/>
            <wp:effectExtent l="0" t="0" r="2540" b="6985"/>
            <wp:docPr id="78" name="Billed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17600" cy="3384000"/>
                    </a:xfrm>
                    <a:prstGeom prst="rect">
                      <a:avLst/>
                    </a:prstGeom>
                    <a:noFill/>
                  </pic:spPr>
                </pic:pic>
              </a:graphicData>
            </a:graphic>
          </wp:inline>
        </w:drawing>
      </w:r>
    </w:p>
    <w:p w14:paraId="6BE1ECF5" w14:textId="77777777" w:rsidR="00E7224B" w:rsidRDefault="00E7224B" w:rsidP="00E7224B">
      <w:pPr>
        <w:ind w:right="-1759"/>
        <w:jc w:val="both"/>
        <w:rPr>
          <w:b/>
          <w:color w:val="000000"/>
        </w:rPr>
      </w:pPr>
    </w:p>
    <w:p w14:paraId="554C5DED" w14:textId="77777777" w:rsidR="00E7224B" w:rsidRDefault="00E7224B" w:rsidP="00E7224B">
      <w:pPr>
        <w:ind w:right="-1759"/>
        <w:jc w:val="both"/>
        <w:rPr>
          <w:b/>
          <w:color w:val="000000"/>
        </w:rPr>
      </w:pPr>
    </w:p>
    <w:p w14:paraId="6DBC2EBA" w14:textId="77777777" w:rsidR="00E7224B" w:rsidRDefault="00E7224B" w:rsidP="00E7224B">
      <w:pPr>
        <w:ind w:right="-1759"/>
        <w:jc w:val="both"/>
        <w:rPr>
          <w:b/>
          <w:color w:val="000000"/>
        </w:rPr>
      </w:pPr>
    </w:p>
    <w:p w14:paraId="67598968" w14:textId="409DD479" w:rsidR="00E7224B" w:rsidRPr="00F866C3" w:rsidRDefault="00474CD1" w:rsidP="00E7224B">
      <w:pPr>
        <w:ind w:right="-1759"/>
        <w:jc w:val="both"/>
        <w:rPr>
          <w:color w:val="000000"/>
        </w:rPr>
      </w:pPr>
      <w:r w:rsidRPr="00F866C3">
        <w:rPr>
          <w:color w:val="000000"/>
        </w:rPr>
        <w:t>Nedenfor gennemgås de enkelte trin fra figur 1</w:t>
      </w:r>
      <w:r w:rsidR="00F866C3">
        <w:rPr>
          <w:color w:val="000000"/>
        </w:rPr>
        <w:t>.</w:t>
      </w:r>
      <w:r w:rsidRPr="00F866C3">
        <w:rPr>
          <w:color w:val="000000"/>
        </w:rPr>
        <w:t xml:space="preserve"> </w:t>
      </w:r>
    </w:p>
    <w:p w14:paraId="0AE80CB8" w14:textId="77777777" w:rsidR="00474CD1" w:rsidRDefault="00474CD1" w:rsidP="00E7224B">
      <w:pPr>
        <w:ind w:right="-1759"/>
        <w:jc w:val="both"/>
        <w:rPr>
          <w:b/>
          <w:color w:val="000000"/>
        </w:rPr>
      </w:pPr>
    </w:p>
    <w:p w14:paraId="7723CA8D" w14:textId="1E56F8AA" w:rsidR="00F866C3" w:rsidRPr="00F866C3" w:rsidRDefault="00F866C3" w:rsidP="002A2467">
      <w:pPr>
        <w:pStyle w:val="Pktoverskrift"/>
        <w:rPr>
          <w:i/>
        </w:rPr>
      </w:pPr>
      <w:r w:rsidRPr="00F866C3">
        <w:rPr>
          <w:i/>
        </w:rPr>
        <w:t>Trin 1: Kan det udelukkes, at nogle af de lokaliteter, der vil kunne blive påvirket af projektet rummer yngle- eller rasteområder for en eller flere af bilag IV-arter?</w:t>
      </w:r>
    </w:p>
    <w:p w14:paraId="4E7EFAF1" w14:textId="0D6ABDDD" w:rsidR="00E7224B" w:rsidRDefault="00E7224B" w:rsidP="00E7224B">
      <w:pPr>
        <w:ind w:right="-1759"/>
        <w:jc w:val="both"/>
        <w:rPr>
          <w:color w:val="000000"/>
          <w:highlight w:val="yellow"/>
        </w:rPr>
      </w:pPr>
      <w:r w:rsidRPr="00BF7046">
        <w:rPr>
          <w:color w:val="000000"/>
        </w:rPr>
        <w:t xml:space="preserve">Yngle- og rasteområder er afgørende for dyrenes livscyklus og for en arts samlede levested og er tillagt en høj grad af beskyttelse mod handlinger, der forårsager, at disse områder beskadiges eller ødelægges. </w:t>
      </w:r>
      <w:r>
        <w:rPr>
          <w:color w:val="000000"/>
        </w:rPr>
        <w:t>Yngle- og raste</w:t>
      </w:r>
      <w:r w:rsidRPr="00BF7046">
        <w:rPr>
          <w:color w:val="000000"/>
        </w:rPr>
        <w:t>områder er beskyttede i henhold til habitatdirektivet uanset hvor mange enheder af den berørte bilag IV-art</w:t>
      </w:r>
      <w:r w:rsidR="00A960F3">
        <w:rPr>
          <w:color w:val="000000"/>
        </w:rPr>
        <w:t>,</w:t>
      </w:r>
      <w:r w:rsidRPr="00BF7046">
        <w:rPr>
          <w:color w:val="000000"/>
        </w:rPr>
        <w:t xml:space="preserve"> der findes i det pågældende område</w:t>
      </w:r>
      <w:r>
        <w:rPr>
          <w:color w:val="000000"/>
        </w:rPr>
        <w:t>.</w:t>
      </w:r>
      <w:r w:rsidRPr="00BF7046">
        <w:rPr>
          <w:rStyle w:val="Fodnotehenvisning"/>
          <w:color w:val="000000"/>
        </w:rPr>
        <w:footnoteReference w:id="11"/>
      </w:r>
      <w:r>
        <w:rPr>
          <w:color w:val="000000"/>
        </w:rPr>
        <w:t xml:space="preserve"> </w:t>
      </w:r>
    </w:p>
    <w:p w14:paraId="01FE9FDB" w14:textId="77777777" w:rsidR="008847A1" w:rsidRDefault="008847A1" w:rsidP="00E7224B">
      <w:pPr>
        <w:ind w:right="-1759"/>
        <w:jc w:val="both"/>
        <w:rPr>
          <w:color w:val="000000"/>
        </w:rPr>
      </w:pPr>
    </w:p>
    <w:p w14:paraId="786DCF9B" w14:textId="664862AE" w:rsidR="00E7224B" w:rsidRDefault="00E7224B" w:rsidP="00E7224B">
      <w:pPr>
        <w:ind w:right="-1759"/>
        <w:jc w:val="both"/>
        <w:rPr>
          <w:color w:val="000000"/>
        </w:rPr>
      </w:pPr>
      <w:r>
        <w:rPr>
          <w:color w:val="000000"/>
        </w:rPr>
        <w:t xml:space="preserve">Det naturlige udgangspunkt for vurderingen af, om </w:t>
      </w:r>
      <w:r w:rsidR="00C663BC">
        <w:rPr>
          <w:color w:val="000000"/>
        </w:rPr>
        <w:t>et projekt</w:t>
      </w:r>
      <w:r>
        <w:rPr>
          <w:color w:val="000000"/>
        </w:rPr>
        <w:t xml:space="preserve"> kan beskadige </w:t>
      </w:r>
      <w:r w:rsidR="00C663BC">
        <w:rPr>
          <w:color w:val="000000"/>
        </w:rPr>
        <w:t xml:space="preserve">eller ødelægge </w:t>
      </w:r>
      <w:r>
        <w:rPr>
          <w:color w:val="000000"/>
        </w:rPr>
        <w:t>yngle- eller rasteområder for bilag IV-arter, er en vurdering af, om nogle af de lokaliteter, der vil kunne blive påvirket af projektet (både inden for og uden for projektområdet), tjener som yngle- eller rasteområder for en eller flere bilag IV-arter.</w:t>
      </w:r>
    </w:p>
    <w:p w14:paraId="27C26845" w14:textId="77777777" w:rsidR="00E7224B" w:rsidRDefault="00E7224B" w:rsidP="00E7224B">
      <w:pPr>
        <w:ind w:right="-1759"/>
        <w:jc w:val="both"/>
        <w:rPr>
          <w:color w:val="000000"/>
        </w:rPr>
      </w:pPr>
    </w:p>
    <w:p w14:paraId="6826D563" w14:textId="77777777" w:rsidR="00E7224B" w:rsidRPr="0082427A" w:rsidRDefault="00E7224B" w:rsidP="00E7224B">
      <w:pPr>
        <w:ind w:right="-1759"/>
        <w:jc w:val="both"/>
        <w:rPr>
          <w:color w:val="000000"/>
        </w:rPr>
      </w:pPr>
      <w:r>
        <w:t>Hverken habitatdirektivet eller habitatbekendtgørelsen indeholder en definition af, hvad der skal forstås ved</w:t>
      </w:r>
      <w:r w:rsidR="002F7133">
        <w:t xml:space="preserve"> bilag IV-arters </w:t>
      </w:r>
      <w:r>
        <w:t>”</w:t>
      </w:r>
      <w:r w:rsidRPr="00214D35">
        <w:rPr>
          <w:i/>
        </w:rPr>
        <w:t>yngle-</w:t>
      </w:r>
      <w:r>
        <w:rPr>
          <w:i/>
        </w:rPr>
        <w:t>”</w:t>
      </w:r>
      <w:r w:rsidRPr="00214D35">
        <w:rPr>
          <w:i/>
        </w:rPr>
        <w:t xml:space="preserve"> </w:t>
      </w:r>
      <w:r w:rsidRPr="005C0F68">
        <w:t>og</w:t>
      </w:r>
      <w:r w:rsidRPr="00214D35">
        <w:rPr>
          <w:i/>
        </w:rPr>
        <w:t xml:space="preserve"> </w:t>
      </w:r>
      <w:r>
        <w:rPr>
          <w:i/>
        </w:rPr>
        <w:t>”</w:t>
      </w:r>
      <w:r w:rsidRPr="00214D35">
        <w:rPr>
          <w:i/>
        </w:rPr>
        <w:t>rasteområder</w:t>
      </w:r>
      <w:r>
        <w:t xml:space="preserve">”. </w:t>
      </w:r>
      <w:r w:rsidRPr="00F5131E">
        <w:rPr>
          <w:color w:val="000000"/>
        </w:rPr>
        <w:t>Det følger af EU-domstolens dom i sag C-357/20</w:t>
      </w:r>
      <w:r w:rsidR="002F7133">
        <w:rPr>
          <w:color w:val="000000"/>
        </w:rPr>
        <w:t>,</w:t>
      </w:r>
      <w:r>
        <w:rPr>
          <w:rStyle w:val="Fodnotehenvisning"/>
          <w:color w:val="000000"/>
        </w:rPr>
        <w:footnoteReference w:id="12"/>
      </w:r>
      <w:r>
        <w:rPr>
          <w:color w:val="000000"/>
        </w:rPr>
        <w:t xml:space="preserve"> </w:t>
      </w:r>
      <w:r w:rsidRPr="00F5131E">
        <w:rPr>
          <w:color w:val="000000"/>
        </w:rPr>
        <w:t>at begrebet ”</w:t>
      </w:r>
      <w:r w:rsidRPr="00671806">
        <w:rPr>
          <w:i/>
          <w:color w:val="000000"/>
        </w:rPr>
        <w:t>yngleområde</w:t>
      </w:r>
      <w:r w:rsidRPr="00F5131E">
        <w:rPr>
          <w:color w:val="000000"/>
        </w:rPr>
        <w:t xml:space="preserve">” skal forstås således, at det omfatter </w:t>
      </w:r>
      <w:r w:rsidRPr="00671806">
        <w:rPr>
          <w:i/>
          <w:color w:val="000000"/>
        </w:rPr>
        <w:t xml:space="preserve">alle </w:t>
      </w:r>
      <w:r w:rsidRPr="00F5131E">
        <w:rPr>
          <w:color w:val="000000"/>
        </w:rPr>
        <w:t xml:space="preserve">de områder, der er nødvendige for, at den pågældende dyreart kan yngle med succes, herunder omgivelserne omkring yngleområdet. </w:t>
      </w:r>
      <w:r>
        <w:rPr>
          <w:color w:val="000000"/>
        </w:rPr>
        <w:t xml:space="preserve">Sådanne områder </w:t>
      </w:r>
      <w:r w:rsidRPr="0082427A">
        <w:rPr>
          <w:color w:val="000000"/>
        </w:rPr>
        <w:t xml:space="preserve">er beskyttede, så længe de </w:t>
      </w:r>
      <w:r>
        <w:rPr>
          <w:color w:val="000000"/>
        </w:rPr>
        <w:t xml:space="preserve">er </w:t>
      </w:r>
      <w:r w:rsidRPr="0082427A">
        <w:rPr>
          <w:color w:val="000000"/>
        </w:rPr>
        <w:t>nødvendige for at arten kan yngle med succes</w:t>
      </w:r>
      <w:r>
        <w:rPr>
          <w:color w:val="000000"/>
        </w:rPr>
        <w:t>.</w:t>
      </w:r>
      <w:r>
        <w:rPr>
          <w:rStyle w:val="Fodnotehenvisning"/>
          <w:color w:val="000000"/>
        </w:rPr>
        <w:footnoteReference w:id="13"/>
      </w:r>
      <w:r>
        <w:rPr>
          <w:color w:val="000000"/>
        </w:rPr>
        <w:t xml:space="preserve"> </w:t>
      </w:r>
      <w:r w:rsidRPr="0082427A">
        <w:rPr>
          <w:color w:val="000000"/>
        </w:rPr>
        <w:t xml:space="preserve">Dette indebærer, at beskyttelsen omfatter de yngleområder, som ikke længere benyttes, når der er en tilstrækkelig stor sandsynlighed for, at den nævnte dyreart vender tilbage til disse områder. Det vil bero på en konkret vurdering ud fra en artsspecifik tilgang, om der er en tilstrækkelig stor sandsynlighed for, at den pågældende art vender tilbage til et konkret område.  </w:t>
      </w:r>
    </w:p>
    <w:p w14:paraId="34D52B41" w14:textId="77777777" w:rsidR="00E7224B" w:rsidRDefault="00E7224B" w:rsidP="00E7224B">
      <w:pPr>
        <w:ind w:right="-1759"/>
        <w:jc w:val="both"/>
        <w:rPr>
          <w:color w:val="000000"/>
        </w:rPr>
      </w:pPr>
    </w:p>
    <w:p w14:paraId="70E932DA" w14:textId="77777777" w:rsidR="00E7224B" w:rsidRDefault="00E7224B" w:rsidP="00E7224B">
      <w:pPr>
        <w:ind w:right="-1759"/>
        <w:jc w:val="both"/>
        <w:rPr>
          <w:color w:val="000000"/>
        </w:rPr>
      </w:pPr>
      <w:r>
        <w:rPr>
          <w:color w:val="000000"/>
        </w:rPr>
        <w:t>”</w:t>
      </w:r>
      <w:r w:rsidRPr="00671806">
        <w:rPr>
          <w:i/>
          <w:color w:val="000000"/>
        </w:rPr>
        <w:t>Rasteområder</w:t>
      </w:r>
      <w:r>
        <w:rPr>
          <w:color w:val="000000"/>
        </w:rPr>
        <w:t>” beskrives i EU-Kommissionens vejledning som de områder, der benyttes af et dyr eller en gruppe af dyr, når de ikke er aktive.</w:t>
      </w:r>
      <w:r w:rsidR="002F7133">
        <w:rPr>
          <w:rStyle w:val="Fodnotehenvisning"/>
          <w:color w:val="000000"/>
        </w:rPr>
        <w:footnoteReference w:id="14"/>
      </w:r>
      <w:r>
        <w:rPr>
          <w:color w:val="000000"/>
        </w:rPr>
        <w:t xml:space="preserve"> </w:t>
      </w:r>
      <w:r w:rsidRPr="00F112DA">
        <w:rPr>
          <w:color w:val="000000"/>
        </w:rPr>
        <w:t>Rasteområder omfatter også strukturer, som dyr etablerer som rasteområder, f.eks. reder, huler eller skjulesteder.</w:t>
      </w:r>
      <w:r>
        <w:rPr>
          <w:color w:val="000000"/>
        </w:rPr>
        <w:t xml:space="preserve"> Rasteområder, der anvendes regelmæssigt, i løbet af et år eller over flere år, skal beskyttes, selv om de ikke benyttes. </w:t>
      </w:r>
      <w:r w:rsidR="002F7133">
        <w:rPr>
          <w:color w:val="000000"/>
        </w:rPr>
        <w:t xml:space="preserve">Dette betyder, at hvis f.eks. </w:t>
      </w:r>
      <w:r w:rsidRPr="0082427A">
        <w:rPr>
          <w:color w:val="000000"/>
        </w:rPr>
        <w:t>en bestemt grotte bruges hvert år af et antal flagermus til overvintring (fordi arten sædvanligvis vender tilbage til samme vinterhi hvert år), bør denne grottes funktion som overvintringssted også beskyttes om sommeren, så flagermus kan bruge det igen om vinteren.</w:t>
      </w:r>
    </w:p>
    <w:p w14:paraId="3D50D805" w14:textId="77777777" w:rsidR="00E7224B" w:rsidRDefault="00E7224B" w:rsidP="00E7224B">
      <w:pPr>
        <w:ind w:right="-1759"/>
        <w:jc w:val="both"/>
        <w:rPr>
          <w:color w:val="000000"/>
        </w:rPr>
      </w:pPr>
    </w:p>
    <w:p w14:paraId="617C1759" w14:textId="639A7347" w:rsidR="00E7224B" w:rsidRDefault="00E7224B" w:rsidP="00E7224B">
      <w:pPr>
        <w:ind w:right="-1759"/>
        <w:jc w:val="both"/>
        <w:rPr>
          <w:color w:val="000000"/>
        </w:rPr>
      </w:pPr>
      <w:r>
        <w:rPr>
          <w:color w:val="000000"/>
        </w:rPr>
        <w:t xml:space="preserve">Mens andre elementer </w:t>
      </w:r>
      <w:r w:rsidR="002F7133">
        <w:rPr>
          <w:color w:val="000000"/>
        </w:rPr>
        <w:t>i</w:t>
      </w:r>
      <w:r>
        <w:rPr>
          <w:color w:val="000000"/>
        </w:rPr>
        <w:t xml:space="preserve"> bilag IV-arters levested</w:t>
      </w:r>
      <w:r w:rsidR="002F7133">
        <w:rPr>
          <w:color w:val="000000"/>
        </w:rPr>
        <w:t>er end yngle- og rasteområder, f.eks.</w:t>
      </w:r>
      <w:r>
        <w:rPr>
          <w:color w:val="000000"/>
        </w:rPr>
        <w:t xml:space="preserve"> f</w:t>
      </w:r>
      <w:r w:rsidRPr="003D12E3">
        <w:rPr>
          <w:color w:val="000000"/>
        </w:rPr>
        <w:t>ourageringsområder</w:t>
      </w:r>
      <w:r w:rsidR="00FF753F">
        <w:rPr>
          <w:color w:val="000000"/>
        </w:rPr>
        <w:t xml:space="preserve">, ledelinjer </w:t>
      </w:r>
      <w:r>
        <w:rPr>
          <w:color w:val="000000"/>
        </w:rPr>
        <w:t xml:space="preserve">eller </w:t>
      </w:r>
      <w:r w:rsidRPr="003D12E3">
        <w:rPr>
          <w:color w:val="000000"/>
        </w:rPr>
        <w:t>vandringsruter</w:t>
      </w:r>
      <w:r>
        <w:rPr>
          <w:color w:val="000000"/>
        </w:rPr>
        <w:t xml:space="preserve">, ikke i sig selv er omfattet af </w:t>
      </w:r>
      <w:r w:rsidR="002F7133">
        <w:rPr>
          <w:color w:val="000000"/>
        </w:rPr>
        <w:t xml:space="preserve">habitatdirektivets </w:t>
      </w:r>
      <w:r>
        <w:rPr>
          <w:color w:val="000000"/>
        </w:rPr>
        <w:t xml:space="preserve">artikel 12, stk. 1, litra d), kan disse elementer efter en </w:t>
      </w:r>
      <w:r w:rsidRPr="006A2C50">
        <w:rPr>
          <w:i/>
          <w:color w:val="000000"/>
        </w:rPr>
        <w:t>konkret vurdering</w:t>
      </w:r>
      <w:r>
        <w:rPr>
          <w:color w:val="000000"/>
        </w:rPr>
        <w:t xml:space="preserve"> </w:t>
      </w:r>
      <w:r w:rsidR="00005E9F">
        <w:rPr>
          <w:color w:val="000000"/>
        </w:rPr>
        <w:t>være</w:t>
      </w:r>
      <w:r>
        <w:rPr>
          <w:color w:val="000000"/>
        </w:rPr>
        <w:t xml:space="preserve"> omfattet af </w:t>
      </w:r>
      <w:r w:rsidR="002F7133">
        <w:rPr>
          <w:color w:val="000000"/>
        </w:rPr>
        <w:t xml:space="preserve">bestemmelsens </w:t>
      </w:r>
      <w:r>
        <w:rPr>
          <w:color w:val="000000"/>
        </w:rPr>
        <w:lastRenderedPageBreak/>
        <w:t>strenge beskyttelse.</w:t>
      </w:r>
      <w:r w:rsidR="00DE05C3">
        <w:rPr>
          <w:rStyle w:val="Fodnotehenvisning"/>
          <w:color w:val="000000"/>
        </w:rPr>
        <w:footnoteReference w:id="15"/>
      </w:r>
      <w:r>
        <w:rPr>
          <w:color w:val="000000"/>
        </w:rPr>
        <w:t xml:space="preserve"> Hvis f.eks. et konkret fourageringsområde er </w:t>
      </w:r>
      <w:r w:rsidRPr="00360E54">
        <w:rPr>
          <w:color w:val="000000"/>
        </w:rPr>
        <w:t>nødvendig</w:t>
      </w:r>
      <w:r>
        <w:rPr>
          <w:color w:val="000000"/>
        </w:rPr>
        <w:t>t</w:t>
      </w:r>
      <w:r w:rsidRPr="00360E54">
        <w:rPr>
          <w:color w:val="000000"/>
        </w:rPr>
        <w:t xml:space="preserve"> for, at den pågældende dyreart kan yngle med succes,</w:t>
      </w:r>
      <w:r>
        <w:rPr>
          <w:color w:val="000000"/>
        </w:rPr>
        <w:t xml:space="preserve"> skal dette område beskyttes.</w:t>
      </w:r>
      <w:r w:rsidR="00DE05C3">
        <w:rPr>
          <w:rStyle w:val="Fodnotehenvisning"/>
          <w:color w:val="000000"/>
        </w:rPr>
        <w:footnoteReference w:id="16"/>
      </w:r>
      <w:r>
        <w:rPr>
          <w:color w:val="000000"/>
        </w:rPr>
        <w:t xml:space="preserve"> Ved definitionen af </w:t>
      </w:r>
      <w:r w:rsidRPr="00F5131E">
        <w:rPr>
          <w:color w:val="000000"/>
        </w:rPr>
        <w:t>yngle</w:t>
      </w:r>
      <w:r>
        <w:rPr>
          <w:color w:val="000000"/>
        </w:rPr>
        <w:t>- og raste</w:t>
      </w:r>
      <w:r w:rsidRPr="00F5131E">
        <w:rPr>
          <w:color w:val="000000"/>
        </w:rPr>
        <w:t xml:space="preserve">områder er det således </w:t>
      </w:r>
      <w:r w:rsidRPr="00267FA7">
        <w:rPr>
          <w:i/>
          <w:color w:val="000000"/>
        </w:rPr>
        <w:t xml:space="preserve">altid </w:t>
      </w:r>
      <w:r w:rsidRPr="00F5131E">
        <w:rPr>
          <w:color w:val="000000"/>
        </w:rPr>
        <w:t>nødvendigt at tage udgangspunkt i den konkrete art, herunder den</w:t>
      </w:r>
      <w:r w:rsidR="008847A1">
        <w:rPr>
          <w:color w:val="000000"/>
        </w:rPr>
        <w:t xml:space="preserve"> aktuelle viden om dens </w:t>
      </w:r>
      <w:r w:rsidRPr="00F5131E">
        <w:rPr>
          <w:color w:val="000000"/>
        </w:rPr>
        <w:t>økologi og adfærd.</w:t>
      </w:r>
      <w:r>
        <w:rPr>
          <w:color w:val="000000"/>
        </w:rPr>
        <w:t xml:space="preserve"> </w:t>
      </w:r>
    </w:p>
    <w:p w14:paraId="7098A1DF" w14:textId="77777777" w:rsidR="00E7224B" w:rsidRDefault="00E7224B" w:rsidP="00E7224B">
      <w:pPr>
        <w:ind w:right="-1759"/>
        <w:jc w:val="both"/>
        <w:rPr>
          <w:color w:val="000000"/>
        </w:rPr>
      </w:pPr>
    </w:p>
    <w:p w14:paraId="1DAD5A0E" w14:textId="6925C0C1" w:rsidR="00C214E3" w:rsidRDefault="00E7224B" w:rsidP="00E7224B">
      <w:pPr>
        <w:ind w:right="-1759"/>
        <w:jc w:val="both"/>
      </w:pPr>
      <w:r>
        <w:t xml:space="preserve">Yngle- eller rasteområder kan bestå af </w:t>
      </w:r>
      <w:r w:rsidRPr="001234D8">
        <w:rPr>
          <w:color w:val="000000"/>
        </w:rPr>
        <w:t>flere lokaliteter, der tjener som levesteder for den samme bestand.</w:t>
      </w:r>
      <w:r>
        <w:rPr>
          <w:color w:val="000000"/>
        </w:rPr>
        <w:t xml:space="preserve"> </w:t>
      </w:r>
      <w:r w:rsidRPr="00D066E0">
        <w:rPr>
          <w:color w:val="000000"/>
        </w:rPr>
        <w:t>Betydningen af de enkelte lokaliteter i netværket kan afhænge af bestandens tæthed og spredningsmuligheder.</w:t>
      </w:r>
      <w:r>
        <w:rPr>
          <w:color w:val="000000"/>
        </w:rPr>
        <w:t xml:space="preserve"> </w:t>
      </w:r>
      <w:r>
        <w:t>Et yngle- eller rasteområde forstås således</w:t>
      </w:r>
      <w:r w:rsidR="002F7133" w:rsidRPr="002F7133">
        <w:t xml:space="preserve"> </w:t>
      </w:r>
      <w:r w:rsidR="002F7133">
        <w:t xml:space="preserve">ikke som hver enkelt lokalitet eller forekomst men som en </w:t>
      </w:r>
      <w:r>
        <w:t>samling af lokaliteter, hvor en bestand af en art yngler eller raster</w:t>
      </w:r>
      <w:r w:rsidR="002F7133">
        <w:t xml:space="preserve">, </w:t>
      </w:r>
      <w:r>
        <w:t>medmindre der ikke er økologisk sammenhæng med andre lokaliteter eller forekomster.</w:t>
      </w:r>
      <w:r>
        <w:rPr>
          <w:rStyle w:val="Fodnotehenvisning"/>
        </w:rPr>
        <w:footnoteReference w:id="17"/>
      </w:r>
      <w:r w:rsidR="00C214E3">
        <w:t xml:space="preserve"> </w:t>
      </w:r>
    </w:p>
    <w:p w14:paraId="21144A3D" w14:textId="77777777" w:rsidR="008847A1" w:rsidRDefault="008847A1" w:rsidP="00E7224B">
      <w:pPr>
        <w:ind w:right="-1759"/>
        <w:jc w:val="both"/>
        <w:rPr>
          <w:color w:val="000000"/>
        </w:rPr>
      </w:pPr>
    </w:p>
    <w:p w14:paraId="627C20C4" w14:textId="3DCAD4F5" w:rsidR="00E7224B" w:rsidRDefault="00E7224B" w:rsidP="00E7224B">
      <w:pPr>
        <w:ind w:right="-1759"/>
        <w:jc w:val="both"/>
        <w:rPr>
          <w:color w:val="000000"/>
        </w:rPr>
      </w:pPr>
      <w:r>
        <w:rPr>
          <w:color w:val="000000"/>
        </w:rPr>
        <w:t>For så vidt angår omfanget og karakteren af de oplysninger, der er nødvendige for at udelukke, at en lokalitet rummer yngle- eller rasteområder for bilag IV-arter, kan der ikke fastlægges entydige kriterier. Omfanget og kara</w:t>
      </w:r>
      <w:r w:rsidR="00365F37">
        <w:rPr>
          <w:color w:val="000000"/>
        </w:rPr>
        <w:t>k</w:t>
      </w:r>
      <w:r>
        <w:rPr>
          <w:color w:val="000000"/>
        </w:rPr>
        <w:t xml:space="preserve">teren af oplysninger afhænger </w:t>
      </w:r>
      <w:r w:rsidRPr="002F7133">
        <w:rPr>
          <w:i/>
          <w:color w:val="000000"/>
        </w:rPr>
        <w:t>altid</w:t>
      </w:r>
      <w:r>
        <w:rPr>
          <w:color w:val="000000"/>
        </w:rPr>
        <w:t xml:space="preserve"> af det konkrete projekt</w:t>
      </w:r>
      <w:r w:rsidR="009F767F">
        <w:rPr>
          <w:color w:val="000000"/>
        </w:rPr>
        <w:t>, jf. herom nærmere i ”</w:t>
      </w:r>
      <w:r w:rsidR="009F767F" w:rsidRPr="00D579B2">
        <w:rPr>
          <w:i/>
          <w:color w:val="000000"/>
        </w:rPr>
        <w:t>Notat om officialprincippet i miljøvurderingskontekst</w:t>
      </w:r>
      <w:r w:rsidR="009F767F">
        <w:rPr>
          <w:color w:val="000000"/>
        </w:rPr>
        <w:t>”.</w:t>
      </w:r>
      <w:r w:rsidR="009F767F">
        <w:rPr>
          <w:rStyle w:val="Fodnotehenvisning"/>
          <w:color w:val="000000"/>
        </w:rPr>
        <w:footnoteReference w:id="18"/>
      </w:r>
      <w:r>
        <w:rPr>
          <w:color w:val="000000"/>
        </w:rPr>
        <w:t xml:space="preserve"> </w:t>
      </w:r>
    </w:p>
    <w:p w14:paraId="4F01F451" w14:textId="01813305" w:rsidR="00E7224B" w:rsidRDefault="00E7224B" w:rsidP="00E7224B">
      <w:pPr>
        <w:ind w:right="-1759"/>
        <w:jc w:val="both"/>
        <w:rPr>
          <w:color w:val="000000"/>
        </w:rPr>
      </w:pPr>
    </w:p>
    <w:p w14:paraId="5D904D08" w14:textId="5AF763BD" w:rsidR="00521605" w:rsidRDefault="00521605" w:rsidP="00E7224B">
      <w:pPr>
        <w:ind w:right="-1759"/>
        <w:jc w:val="both"/>
        <w:rPr>
          <w:color w:val="000000"/>
        </w:rPr>
      </w:pPr>
      <w:r>
        <w:rPr>
          <w:color w:val="000000"/>
        </w:rPr>
        <w:t xml:space="preserve">Som anført ovenfor er der hverken i habitatdirektivet eller habitatbekendtgørelsen fastsat nærmere regler for, hvordan vurderingen af, om projektet kan beskadige eller ødelægge bilag IV-arters yngle- eller rasteområder skal foretages. </w:t>
      </w:r>
    </w:p>
    <w:p w14:paraId="2F078517" w14:textId="77777777" w:rsidR="00521605" w:rsidRDefault="00521605" w:rsidP="00E7224B">
      <w:pPr>
        <w:ind w:right="-1759"/>
        <w:jc w:val="both"/>
        <w:rPr>
          <w:color w:val="000000"/>
        </w:rPr>
      </w:pPr>
    </w:p>
    <w:p w14:paraId="1FAE969A" w14:textId="39B2E644" w:rsidR="008B3117" w:rsidRDefault="003C23DE" w:rsidP="00E7224B">
      <w:pPr>
        <w:ind w:right="-1759"/>
        <w:jc w:val="both"/>
        <w:rPr>
          <w:color w:val="000000"/>
        </w:rPr>
      </w:pPr>
      <w:r>
        <w:rPr>
          <w:color w:val="000000"/>
        </w:rPr>
        <w:t xml:space="preserve">I praksis </w:t>
      </w:r>
      <w:r w:rsidR="00521605">
        <w:rPr>
          <w:color w:val="000000"/>
        </w:rPr>
        <w:t xml:space="preserve">kan bygherren ofte </w:t>
      </w:r>
      <w:r>
        <w:rPr>
          <w:color w:val="000000"/>
        </w:rPr>
        <w:t xml:space="preserve">gennemføre en </w:t>
      </w:r>
      <w:r w:rsidRPr="001320C1">
        <w:rPr>
          <w:i/>
          <w:color w:val="000000"/>
        </w:rPr>
        <w:t>indledende vurdering</w:t>
      </w:r>
      <w:r>
        <w:rPr>
          <w:color w:val="000000"/>
        </w:rPr>
        <w:t xml:space="preserve"> på baggrund af eksisterende viden</w:t>
      </w:r>
      <w:r w:rsidR="00200FB7">
        <w:rPr>
          <w:rStyle w:val="Fodnotehenvisning"/>
          <w:color w:val="000000"/>
        </w:rPr>
        <w:footnoteReference w:id="19"/>
      </w:r>
      <w:r>
        <w:rPr>
          <w:color w:val="000000"/>
        </w:rPr>
        <w:t xml:space="preserve"> om arternes udbredelse, </w:t>
      </w:r>
      <w:r w:rsidR="001320C1">
        <w:rPr>
          <w:color w:val="000000"/>
        </w:rPr>
        <w:t xml:space="preserve">levevis og </w:t>
      </w:r>
      <w:r>
        <w:rPr>
          <w:color w:val="000000"/>
        </w:rPr>
        <w:t>krav til levested</w:t>
      </w:r>
      <w:r w:rsidR="001320C1">
        <w:rPr>
          <w:color w:val="000000"/>
        </w:rPr>
        <w:t xml:space="preserve">. Formålet med en sådan vurdering er at fastslå, om der er en mulighed for, at bilag IV-arter og/eller deres levesteder vil kunne blive påvirket af projektet. </w:t>
      </w:r>
      <w:r w:rsidR="00A960F3">
        <w:rPr>
          <w:color w:val="000000"/>
        </w:rPr>
        <w:t>Det bemærkes</w:t>
      </w:r>
      <w:r>
        <w:rPr>
          <w:color w:val="000000"/>
        </w:rPr>
        <w:t>, at en manglende registrering ikke er ensbetydende med, at arten ikke er til stede på lokaliteten, hvis lokaliteten ellers opfylder de krav arten stiller til et levested</w:t>
      </w:r>
      <w:r w:rsidR="00AB2908">
        <w:rPr>
          <w:color w:val="000000"/>
        </w:rPr>
        <w:t xml:space="preserve"> og ligger </w:t>
      </w:r>
      <w:r w:rsidR="00AB2908" w:rsidRPr="00AB2908">
        <w:rPr>
          <w:color w:val="000000"/>
        </w:rPr>
        <w:t>inden for artens udbredelsesområde</w:t>
      </w:r>
      <w:r w:rsidR="00FD6437">
        <w:rPr>
          <w:color w:val="000000"/>
        </w:rPr>
        <w:t>.</w:t>
      </w:r>
    </w:p>
    <w:p w14:paraId="0B28F559" w14:textId="1BEA0E0C" w:rsidR="001320C1" w:rsidRDefault="001320C1" w:rsidP="00E7224B">
      <w:pPr>
        <w:ind w:right="-1759"/>
        <w:jc w:val="both"/>
        <w:rPr>
          <w:color w:val="000000"/>
        </w:rPr>
      </w:pPr>
    </w:p>
    <w:p w14:paraId="19069D99" w14:textId="2D595EE7" w:rsidR="00E7224B" w:rsidRDefault="001320C1" w:rsidP="00E7224B">
      <w:pPr>
        <w:ind w:right="-1759"/>
        <w:jc w:val="both"/>
        <w:rPr>
          <w:color w:val="000000"/>
        </w:rPr>
      </w:pPr>
      <w:r>
        <w:rPr>
          <w:color w:val="000000"/>
        </w:rPr>
        <w:t xml:space="preserve">Hvis en </w:t>
      </w:r>
      <w:r w:rsidRPr="00EC0C5D">
        <w:rPr>
          <w:color w:val="000000"/>
        </w:rPr>
        <w:t>indledende undersøgelse ud fra eksisterende viden peger p</w:t>
      </w:r>
      <w:r>
        <w:rPr>
          <w:color w:val="000000"/>
        </w:rPr>
        <w:t xml:space="preserve">å at arten kan forekomme, skal </w:t>
      </w:r>
      <w:r w:rsidR="003B31FF">
        <w:rPr>
          <w:color w:val="000000"/>
        </w:rPr>
        <w:t xml:space="preserve">bygherren </w:t>
      </w:r>
      <w:r>
        <w:rPr>
          <w:color w:val="000000"/>
        </w:rPr>
        <w:t xml:space="preserve">som udgangspunkt </w:t>
      </w:r>
      <w:r w:rsidR="003B31FF">
        <w:rPr>
          <w:color w:val="000000"/>
        </w:rPr>
        <w:t xml:space="preserve">sørge for, at der gennemføres </w:t>
      </w:r>
      <w:r>
        <w:rPr>
          <w:color w:val="000000"/>
        </w:rPr>
        <w:t xml:space="preserve">en </w:t>
      </w:r>
      <w:r w:rsidRPr="00BB658F">
        <w:rPr>
          <w:i/>
          <w:color w:val="000000"/>
        </w:rPr>
        <w:t>konkret undersøgelse</w:t>
      </w:r>
      <w:r>
        <w:rPr>
          <w:color w:val="000000"/>
        </w:rPr>
        <w:t xml:space="preserve"> af artens </w:t>
      </w:r>
      <w:r>
        <w:rPr>
          <w:color w:val="000000"/>
        </w:rPr>
        <w:lastRenderedPageBreak/>
        <w:t xml:space="preserve">forekomst i området. </w:t>
      </w:r>
      <w:r w:rsidR="00BB658F">
        <w:rPr>
          <w:color w:val="000000"/>
        </w:rPr>
        <w:t>U</w:t>
      </w:r>
      <w:r w:rsidR="00E7224B" w:rsidRPr="00EC0C5D">
        <w:rPr>
          <w:color w:val="000000"/>
        </w:rPr>
        <w:t>ndersøgelser</w:t>
      </w:r>
      <w:r w:rsidR="00BB658F">
        <w:rPr>
          <w:color w:val="000000"/>
        </w:rPr>
        <w:t>ne</w:t>
      </w:r>
      <w:r w:rsidR="00E7224B" w:rsidRPr="00EC0C5D">
        <w:rPr>
          <w:color w:val="000000"/>
        </w:rPr>
        <w:t xml:space="preserve"> skal ske målrettet med egnede metoder, og det skal sikres, at undersøgelserne foregår på de tidspunkter på året, hvor den pågældende art kan tænkes at udnytte et givet område.</w:t>
      </w:r>
      <w:r w:rsidR="007D659C">
        <w:rPr>
          <w:rStyle w:val="Fodnotehenvisning"/>
          <w:color w:val="000000"/>
        </w:rPr>
        <w:footnoteReference w:id="20"/>
      </w:r>
      <w:r w:rsidR="00E7224B" w:rsidRPr="00EC0C5D">
        <w:rPr>
          <w:color w:val="000000"/>
        </w:rPr>
        <w:t xml:space="preserve"> </w:t>
      </w:r>
    </w:p>
    <w:p w14:paraId="71E7631F" w14:textId="5A87AD30" w:rsidR="00BB658F" w:rsidRDefault="00BB658F" w:rsidP="00E7224B">
      <w:pPr>
        <w:ind w:right="-1759"/>
        <w:jc w:val="both"/>
        <w:rPr>
          <w:color w:val="000000"/>
        </w:rPr>
      </w:pPr>
    </w:p>
    <w:p w14:paraId="6B5A1A9F" w14:textId="2BA9DAEA" w:rsidR="00E7224B" w:rsidRPr="00EC0C5D" w:rsidRDefault="00BB658F" w:rsidP="00E7224B">
      <w:pPr>
        <w:ind w:right="-1759"/>
        <w:jc w:val="both"/>
        <w:rPr>
          <w:color w:val="000000"/>
        </w:rPr>
      </w:pPr>
      <w:r>
        <w:rPr>
          <w:color w:val="000000"/>
        </w:rPr>
        <w:t xml:space="preserve">I sager, hvor </w:t>
      </w:r>
      <w:r w:rsidRPr="00EC0C5D">
        <w:rPr>
          <w:color w:val="000000"/>
        </w:rPr>
        <w:t xml:space="preserve">det af forskellige årsager ikke er muligt </w:t>
      </w:r>
      <w:r w:rsidR="0010528D">
        <w:rPr>
          <w:color w:val="000000"/>
        </w:rPr>
        <w:t xml:space="preserve">for bygherren </w:t>
      </w:r>
      <w:r w:rsidRPr="00EC0C5D">
        <w:rPr>
          <w:color w:val="000000"/>
        </w:rPr>
        <w:t>at udføre tilstrækkelige undersøgelser, eller hvor de undersøgelser,</w:t>
      </w:r>
      <w:r>
        <w:rPr>
          <w:color w:val="000000"/>
        </w:rPr>
        <w:t xml:space="preserve"> der udføres, ikke med tilstrækkelig sikkerhed kan udelukke, </w:t>
      </w:r>
      <w:r w:rsidRPr="00EC0C5D">
        <w:rPr>
          <w:color w:val="000000"/>
        </w:rPr>
        <w:t>at arten alligevel forekommer</w:t>
      </w:r>
      <w:r w:rsidR="0069732D">
        <w:rPr>
          <w:color w:val="000000"/>
        </w:rPr>
        <w:t xml:space="preserve"> i en ellers egnet lokalitet</w:t>
      </w:r>
      <w:r w:rsidR="003B31FF">
        <w:rPr>
          <w:color w:val="000000"/>
        </w:rPr>
        <w:t xml:space="preserve"> (f.eks. hvis der er tale om en art, der er svær at ko</w:t>
      </w:r>
      <w:r w:rsidR="0010528D">
        <w:rPr>
          <w:color w:val="000000"/>
        </w:rPr>
        <w:t>r</w:t>
      </w:r>
      <w:r w:rsidR="003B31FF">
        <w:rPr>
          <w:color w:val="000000"/>
        </w:rPr>
        <w:t>tlægge)</w:t>
      </w:r>
      <w:r>
        <w:rPr>
          <w:color w:val="000000"/>
        </w:rPr>
        <w:t xml:space="preserve">, kan det dog ud fra et </w:t>
      </w:r>
      <w:r w:rsidRPr="00BB658F">
        <w:rPr>
          <w:i/>
          <w:color w:val="000000"/>
        </w:rPr>
        <w:t>forsigtighedsprincip</w:t>
      </w:r>
      <w:r>
        <w:rPr>
          <w:color w:val="000000"/>
        </w:rPr>
        <w:t xml:space="preserve"> foreløbigt lægges til grund, at </w:t>
      </w:r>
      <w:r w:rsidR="00A63ADF">
        <w:rPr>
          <w:color w:val="000000"/>
        </w:rPr>
        <w:t>den pågældende lokalitet udgør</w:t>
      </w:r>
      <w:r w:rsidR="00AC0C16">
        <w:rPr>
          <w:color w:val="000000"/>
        </w:rPr>
        <w:t xml:space="preserve"> et yngle- eller rasteområde </w:t>
      </w:r>
      <w:r>
        <w:rPr>
          <w:color w:val="000000"/>
        </w:rPr>
        <w:t>for</w:t>
      </w:r>
      <w:r w:rsidR="00AC0C16">
        <w:rPr>
          <w:color w:val="000000"/>
        </w:rPr>
        <w:t xml:space="preserve"> en given bilag IV-art. I </w:t>
      </w:r>
      <w:r w:rsidR="00A63ADF">
        <w:rPr>
          <w:color w:val="000000"/>
        </w:rPr>
        <w:t>de</w:t>
      </w:r>
      <w:r w:rsidR="00AC0C16">
        <w:rPr>
          <w:color w:val="000000"/>
        </w:rPr>
        <w:t xml:space="preserve"> tilfælde</w:t>
      </w:r>
      <w:r w:rsidR="00A63ADF">
        <w:rPr>
          <w:color w:val="000000"/>
        </w:rPr>
        <w:t xml:space="preserve">, hvor forsigtighedsprincippet anvendes til at antage, at en bestemt lokalitet udgør et yngle- eller rasteområde,  </w:t>
      </w:r>
      <w:r w:rsidR="00AC0C16">
        <w:rPr>
          <w:color w:val="000000"/>
        </w:rPr>
        <w:t>behøver vurde</w:t>
      </w:r>
      <w:r w:rsidR="00A63ADF">
        <w:rPr>
          <w:color w:val="000000"/>
        </w:rPr>
        <w:t xml:space="preserve">ringen </w:t>
      </w:r>
      <w:r w:rsidR="00AC0C16">
        <w:rPr>
          <w:color w:val="000000"/>
        </w:rPr>
        <w:t>således ikke indeholde en endelig vurdering af, om en given lokalitet faktisk tjener som yngle- eller rasteområde for en given art.</w:t>
      </w:r>
      <w:r w:rsidR="00AC0C16">
        <w:rPr>
          <w:rStyle w:val="Fodnotehenvisning"/>
          <w:color w:val="000000"/>
        </w:rPr>
        <w:footnoteReference w:id="21"/>
      </w:r>
      <w:r w:rsidR="004F0818">
        <w:rPr>
          <w:color w:val="000000"/>
        </w:rPr>
        <w:t xml:space="preserve"> </w:t>
      </w:r>
      <w:r w:rsidR="00E7224B" w:rsidRPr="001D32E7">
        <w:t>Det vil dog ofte være nødvendigt at have udført tilstrækkelige undersøgelser, så man har bedst muligt kendskab til sit projekt og dets påvirkning, og derved mindsk</w:t>
      </w:r>
      <w:r w:rsidR="00E7224B">
        <w:t xml:space="preserve">er usikkerheden i vurderingerne. </w:t>
      </w:r>
      <w:r w:rsidR="00E7224B" w:rsidRPr="00AE60EB">
        <w:rPr>
          <w:color w:val="000000"/>
        </w:rPr>
        <w:t>Hvis myndigheden har et godt kendskab til arternes forekomst,</w:t>
      </w:r>
      <w:r w:rsidR="0010528D">
        <w:rPr>
          <w:color w:val="000000"/>
        </w:rPr>
        <w:t xml:space="preserve"> og dermed til omfanget og karakteren af projektets påvirkning på de på berørte arters yngle- eller rasteområder, </w:t>
      </w:r>
      <w:r w:rsidR="00E7224B" w:rsidRPr="00AE60EB">
        <w:rPr>
          <w:color w:val="000000"/>
        </w:rPr>
        <w:t xml:space="preserve">vil det </w:t>
      </w:r>
      <w:r w:rsidR="00E7224B">
        <w:rPr>
          <w:color w:val="000000"/>
        </w:rPr>
        <w:t xml:space="preserve">eksempelvis </w:t>
      </w:r>
      <w:r w:rsidR="00E7224B" w:rsidRPr="00AE60EB">
        <w:rPr>
          <w:color w:val="000000"/>
        </w:rPr>
        <w:t>være nemmere at imødekomme kravet om at etablere afværgeforanstaltninger, så den økologiske funktionalitet af yngle- eller rasteområdet opretholdes</w:t>
      </w:r>
      <w:r w:rsidR="006D783E">
        <w:rPr>
          <w:color w:val="000000"/>
        </w:rPr>
        <w:t xml:space="preserve"> på mindst samme niveau som hidtil</w:t>
      </w:r>
      <w:r w:rsidR="00E7224B">
        <w:rPr>
          <w:color w:val="000000"/>
        </w:rPr>
        <w:t xml:space="preserve"> </w:t>
      </w:r>
      <w:r w:rsidR="00E7224B">
        <w:t xml:space="preserve">(se herom nedenfor under pkt. </w:t>
      </w:r>
      <w:r w:rsidR="00E7224B" w:rsidRPr="00AD0059">
        <w:t>4</w:t>
      </w:r>
      <w:r w:rsidR="00E7224B">
        <w:t>).</w:t>
      </w:r>
    </w:p>
    <w:p w14:paraId="7ABC27FD" w14:textId="77777777" w:rsidR="00E7224B" w:rsidRDefault="00E7224B" w:rsidP="00E7224B">
      <w:pPr>
        <w:ind w:right="-1759"/>
        <w:jc w:val="both"/>
        <w:rPr>
          <w:color w:val="000000"/>
        </w:rPr>
      </w:pPr>
    </w:p>
    <w:p w14:paraId="1F571A36" w14:textId="2892CB29" w:rsidR="00E7224B" w:rsidRPr="00F866C3" w:rsidRDefault="00F866C3" w:rsidP="004F0818">
      <w:pPr>
        <w:pStyle w:val="Pktoverskrift"/>
        <w:rPr>
          <w:i/>
        </w:rPr>
      </w:pPr>
      <w:r w:rsidRPr="00F866C3">
        <w:rPr>
          <w:i/>
        </w:rPr>
        <w:t xml:space="preserve">Trin 2 og 3: Kan en påvirkning på yngle- eller rasteområdets økologiske funktionalitet med en høj grad af sikkerhed afvises? </w:t>
      </w:r>
    </w:p>
    <w:p w14:paraId="6B95427C" w14:textId="77777777" w:rsidR="00E7224B" w:rsidRDefault="00E7224B" w:rsidP="004F0818">
      <w:pPr>
        <w:ind w:right="-1759"/>
        <w:jc w:val="both"/>
      </w:pPr>
      <w:r>
        <w:rPr>
          <w:color w:val="000000"/>
        </w:rPr>
        <w:t xml:space="preserve">Såfremt det ikke kan afvises, at nogle af </w:t>
      </w:r>
      <w:r w:rsidR="006D783E">
        <w:rPr>
          <w:color w:val="000000"/>
        </w:rPr>
        <w:t xml:space="preserve">de berørte </w:t>
      </w:r>
      <w:r>
        <w:rPr>
          <w:color w:val="000000"/>
        </w:rPr>
        <w:t>lokaliteter tjener som yngle- eller rasteområde</w:t>
      </w:r>
      <w:r w:rsidR="00B717BE">
        <w:rPr>
          <w:color w:val="000000"/>
        </w:rPr>
        <w:t xml:space="preserve"> for bilag IV-arter, </w:t>
      </w:r>
      <w:r>
        <w:t xml:space="preserve">er det herefter nødvendigt at vurdere, </w:t>
      </w:r>
      <w:r w:rsidRPr="00A533A3">
        <w:t xml:space="preserve">hvordan </w:t>
      </w:r>
      <w:r>
        <w:t xml:space="preserve">disse </w:t>
      </w:r>
      <w:r w:rsidR="00B717BE">
        <w:t xml:space="preserve">lokaliteter </w:t>
      </w:r>
      <w:r>
        <w:t xml:space="preserve">påvirkes af projektet. </w:t>
      </w:r>
    </w:p>
    <w:p w14:paraId="58248A14" w14:textId="77777777" w:rsidR="00E7224B" w:rsidRPr="00A533A3" w:rsidRDefault="00E7224B" w:rsidP="004F0818">
      <w:pPr>
        <w:ind w:right="-1759"/>
        <w:jc w:val="both"/>
      </w:pPr>
      <w:r>
        <w:t xml:space="preserve"> </w:t>
      </w:r>
    </w:p>
    <w:p w14:paraId="0188DABD" w14:textId="75872F72" w:rsidR="00213C68" w:rsidRPr="00BC22E7" w:rsidRDefault="00E7224B" w:rsidP="004F0818">
      <w:pPr>
        <w:ind w:right="-1759"/>
        <w:jc w:val="both"/>
        <w:rPr>
          <w:color w:val="000000"/>
        </w:rPr>
      </w:pPr>
      <w:r>
        <w:rPr>
          <w:color w:val="000000"/>
        </w:rPr>
        <w:t>Kravet om, at bilag IV-arters yngle- og rasteområder ikke beskadiges eller ødelægges</w:t>
      </w:r>
      <w:r w:rsidR="0012160D">
        <w:rPr>
          <w:color w:val="000000"/>
        </w:rPr>
        <w:t>,</w:t>
      </w:r>
      <w:r>
        <w:rPr>
          <w:color w:val="000000"/>
        </w:rPr>
        <w:t xml:space="preserve"> forstås i praksis som en målsætning </w:t>
      </w:r>
      <w:r w:rsidRPr="00A67408">
        <w:rPr>
          <w:color w:val="000000"/>
        </w:rPr>
        <w:t xml:space="preserve">om, at </w:t>
      </w:r>
      <w:r>
        <w:rPr>
          <w:color w:val="000000"/>
        </w:rPr>
        <w:t>områdernes</w:t>
      </w:r>
      <w:r w:rsidRPr="00A67408">
        <w:rPr>
          <w:color w:val="000000"/>
        </w:rPr>
        <w:t xml:space="preserve"> </w:t>
      </w:r>
      <w:r w:rsidRPr="000505EF">
        <w:rPr>
          <w:i/>
          <w:color w:val="000000"/>
        </w:rPr>
        <w:t>økologiske funktion</w:t>
      </w:r>
      <w:r w:rsidR="00157105">
        <w:rPr>
          <w:i/>
          <w:color w:val="000000"/>
        </w:rPr>
        <w:t>alitet</w:t>
      </w:r>
      <w:r w:rsidRPr="00A67408">
        <w:rPr>
          <w:color w:val="000000"/>
        </w:rPr>
        <w:t xml:space="preserve"> bevares</w:t>
      </w:r>
      <w:r w:rsidRPr="00BC22E7">
        <w:rPr>
          <w:color w:val="000000"/>
        </w:rPr>
        <w:t>.</w:t>
      </w:r>
      <w:r w:rsidRPr="00BC22E7">
        <w:rPr>
          <w:rStyle w:val="Fodnotehenvisning"/>
          <w:color w:val="000000"/>
        </w:rPr>
        <w:footnoteReference w:id="22"/>
      </w:r>
      <w:r w:rsidRPr="00BC22E7">
        <w:rPr>
          <w:color w:val="000000"/>
        </w:rPr>
        <w:t xml:space="preserve"> </w:t>
      </w:r>
      <w:r w:rsidR="00213C68" w:rsidRPr="00BC22E7">
        <w:rPr>
          <w:color w:val="000000"/>
        </w:rPr>
        <w:t xml:space="preserve">Det betyder, at det ved </w:t>
      </w:r>
      <w:r w:rsidR="003D6F75" w:rsidRPr="00BC22E7">
        <w:rPr>
          <w:color w:val="000000"/>
        </w:rPr>
        <w:t xml:space="preserve"> vurderingen af, om bilag IV-arters yngle- eller rasteområder beskadiges eller ødelægges</w:t>
      </w:r>
      <w:r w:rsidR="00FD6437">
        <w:rPr>
          <w:color w:val="000000"/>
        </w:rPr>
        <w:t xml:space="preserve">, </w:t>
      </w:r>
      <w:r w:rsidR="00213C68" w:rsidRPr="00BC22E7">
        <w:rPr>
          <w:color w:val="000000"/>
        </w:rPr>
        <w:t xml:space="preserve">belyses, om </w:t>
      </w:r>
      <w:r w:rsidR="003D6F75" w:rsidRPr="00BC22E7">
        <w:rPr>
          <w:color w:val="000000"/>
        </w:rPr>
        <w:t xml:space="preserve"> </w:t>
      </w:r>
    </w:p>
    <w:p w14:paraId="3ADC8D82" w14:textId="77777777" w:rsidR="00FD6437" w:rsidRDefault="003D6F75" w:rsidP="004F0818">
      <w:pPr>
        <w:ind w:right="-1759"/>
        <w:jc w:val="both"/>
        <w:rPr>
          <w:color w:val="000000"/>
        </w:rPr>
      </w:pPr>
      <w:r w:rsidRPr="00BC22E7">
        <w:rPr>
          <w:color w:val="000000"/>
        </w:rPr>
        <w:t>projektet kan forringe de</w:t>
      </w:r>
      <w:r w:rsidR="000505EF" w:rsidRPr="00BC22E7">
        <w:rPr>
          <w:color w:val="000000"/>
        </w:rPr>
        <w:t xml:space="preserve"> yngle- eller rastevilkår, som det berørte yngle- eller rasteområde (dvs. </w:t>
      </w:r>
      <w:r w:rsidR="00681B0F" w:rsidRPr="00BC22E7">
        <w:rPr>
          <w:color w:val="000000"/>
        </w:rPr>
        <w:t xml:space="preserve">den </w:t>
      </w:r>
      <w:r w:rsidR="000505EF" w:rsidRPr="00BC22E7">
        <w:rPr>
          <w:color w:val="000000"/>
        </w:rPr>
        <w:t>samling af lokaliteter, som regelmæssigt bliver anvendt af arten) tilbyder</w:t>
      </w:r>
      <w:r w:rsidR="00FD6437">
        <w:rPr>
          <w:color w:val="000000"/>
        </w:rPr>
        <w:t xml:space="preserve">. </w:t>
      </w:r>
    </w:p>
    <w:p w14:paraId="25FA9E49" w14:textId="77777777" w:rsidR="00FD6437" w:rsidRDefault="00FD6437" w:rsidP="00E7224B">
      <w:pPr>
        <w:ind w:right="-1759"/>
        <w:jc w:val="both"/>
        <w:rPr>
          <w:color w:val="000000"/>
        </w:rPr>
      </w:pPr>
    </w:p>
    <w:p w14:paraId="29893DA4" w14:textId="0F94C800" w:rsidR="00E7224B" w:rsidRDefault="00E7224B" w:rsidP="00E7224B">
      <w:pPr>
        <w:ind w:right="-1759"/>
        <w:jc w:val="both"/>
        <w:rPr>
          <w:color w:val="000000"/>
        </w:rPr>
      </w:pPr>
      <w:r w:rsidRPr="00BC22E7">
        <w:rPr>
          <w:color w:val="000000"/>
        </w:rPr>
        <w:t>Ved vurderingen af, om et yngle- eller rasteområde beskadiges eller ødelægges, er det</w:t>
      </w:r>
      <w:r w:rsidR="006D783E" w:rsidRPr="00BC22E7">
        <w:rPr>
          <w:color w:val="000000"/>
        </w:rPr>
        <w:t xml:space="preserve"> </w:t>
      </w:r>
      <w:r w:rsidRPr="00BC22E7">
        <w:rPr>
          <w:color w:val="000000"/>
        </w:rPr>
        <w:t xml:space="preserve">afgørende, om den økologiske funktionalitet </w:t>
      </w:r>
      <w:r w:rsidR="006D783E" w:rsidRPr="00BC22E7">
        <w:rPr>
          <w:color w:val="000000"/>
        </w:rPr>
        <w:t>af</w:t>
      </w:r>
      <w:r w:rsidR="006D783E">
        <w:rPr>
          <w:color w:val="000000"/>
        </w:rPr>
        <w:t xml:space="preserve"> området</w:t>
      </w:r>
      <w:r w:rsidR="003D6F75">
        <w:rPr>
          <w:color w:val="000000"/>
        </w:rPr>
        <w:t xml:space="preserve"> (samling</w:t>
      </w:r>
      <w:r w:rsidR="000505EF">
        <w:rPr>
          <w:color w:val="000000"/>
        </w:rPr>
        <w:t>en</w:t>
      </w:r>
      <w:r w:rsidR="003D6F75">
        <w:rPr>
          <w:color w:val="000000"/>
        </w:rPr>
        <w:t xml:space="preserve"> af lokaliteter)</w:t>
      </w:r>
      <w:r w:rsidR="006D783E">
        <w:rPr>
          <w:color w:val="000000"/>
        </w:rPr>
        <w:t xml:space="preserve"> </w:t>
      </w:r>
      <w:r w:rsidRPr="001D12E9">
        <w:rPr>
          <w:color w:val="000000"/>
        </w:rPr>
        <w:t xml:space="preserve">kan opretholdes </w:t>
      </w:r>
      <w:r w:rsidRPr="001D12E9">
        <w:rPr>
          <w:i/>
          <w:color w:val="000000"/>
        </w:rPr>
        <w:t>på mindst samme niveau</w:t>
      </w:r>
      <w:r w:rsidRPr="001D12E9">
        <w:rPr>
          <w:color w:val="000000"/>
        </w:rPr>
        <w:t xml:space="preserve"> som hidtil.</w:t>
      </w:r>
      <w:r>
        <w:rPr>
          <w:color w:val="000000"/>
        </w:rPr>
        <w:t xml:space="preserve"> </w:t>
      </w:r>
      <w:r w:rsidRPr="001A6AA2">
        <w:rPr>
          <w:color w:val="000000"/>
        </w:rPr>
        <w:t xml:space="preserve">Om der i forbindelse med </w:t>
      </w:r>
      <w:r>
        <w:rPr>
          <w:color w:val="000000"/>
        </w:rPr>
        <w:t>et projekt</w:t>
      </w:r>
      <w:r w:rsidRPr="001A6AA2">
        <w:rPr>
          <w:color w:val="000000"/>
        </w:rPr>
        <w:t xml:space="preserve"> er tale om beskadigelse eller ødelæggelse </w:t>
      </w:r>
      <w:r>
        <w:rPr>
          <w:color w:val="000000"/>
        </w:rPr>
        <w:t>a</w:t>
      </w:r>
      <w:r w:rsidRPr="001A6AA2">
        <w:rPr>
          <w:color w:val="000000"/>
        </w:rPr>
        <w:t xml:space="preserve">f et yngle- eller rasteområde </w:t>
      </w:r>
      <w:r w:rsidR="006D783E">
        <w:rPr>
          <w:color w:val="000000"/>
        </w:rPr>
        <w:t>afhænger efter Kommissionens vejledning af</w:t>
      </w:r>
      <w:r w:rsidR="00B717BE">
        <w:rPr>
          <w:color w:val="000000"/>
        </w:rPr>
        <w:t xml:space="preserve">, om </w:t>
      </w:r>
      <w:r w:rsidRPr="001A6AA2">
        <w:rPr>
          <w:color w:val="000000"/>
        </w:rPr>
        <w:t xml:space="preserve">områdets </w:t>
      </w:r>
      <w:r w:rsidRPr="001A6AA2">
        <w:rPr>
          <w:color w:val="000000"/>
        </w:rPr>
        <w:lastRenderedPageBreak/>
        <w:t>økologiske funktion</w:t>
      </w:r>
      <w:r w:rsidR="00157105">
        <w:rPr>
          <w:color w:val="000000"/>
        </w:rPr>
        <w:t>alitet</w:t>
      </w:r>
      <w:r w:rsidRPr="001A6AA2">
        <w:rPr>
          <w:color w:val="000000"/>
        </w:rPr>
        <w:t xml:space="preserve"> for den pågældende art vil forblive ”</w:t>
      </w:r>
      <w:r w:rsidRPr="001A6AA2">
        <w:rPr>
          <w:i/>
          <w:color w:val="000000"/>
        </w:rPr>
        <w:t>fuldstændig intakt</w:t>
      </w:r>
      <w:r w:rsidRPr="001A6AA2">
        <w:rPr>
          <w:color w:val="000000"/>
        </w:rPr>
        <w:t>”, når aktiviteten har fundet sted.</w:t>
      </w:r>
      <w:r w:rsidR="00B717BE">
        <w:rPr>
          <w:rStyle w:val="Fodnotehenvisning"/>
          <w:color w:val="000000"/>
        </w:rPr>
        <w:footnoteReference w:id="23"/>
      </w:r>
      <w:r>
        <w:rPr>
          <w:color w:val="000000"/>
        </w:rPr>
        <w:t xml:space="preserve"> </w:t>
      </w:r>
    </w:p>
    <w:p w14:paraId="110E95F9" w14:textId="77777777" w:rsidR="00E7224B" w:rsidRDefault="00E7224B" w:rsidP="00E7224B">
      <w:pPr>
        <w:ind w:right="-1759"/>
        <w:jc w:val="both"/>
        <w:rPr>
          <w:color w:val="000000"/>
        </w:rPr>
      </w:pPr>
    </w:p>
    <w:p w14:paraId="779C1951" w14:textId="09A2F8FD" w:rsidR="00E7224B" w:rsidRDefault="00E7224B" w:rsidP="00E7224B">
      <w:pPr>
        <w:ind w:right="-1759"/>
        <w:jc w:val="both"/>
        <w:rPr>
          <w:color w:val="000000"/>
        </w:rPr>
      </w:pPr>
      <w:r>
        <w:rPr>
          <w:color w:val="000000"/>
        </w:rPr>
        <w:t>V</w:t>
      </w:r>
      <w:r w:rsidRPr="001A6AA2">
        <w:rPr>
          <w:color w:val="000000"/>
        </w:rPr>
        <w:t xml:space="preserve">ed beskadigelse eller ødelæggelse af dele af bilag IV-arters yngle- eller rasteområder, herunder f.eks. ved fældning af træer, der </w:t>
      </w:r>
      <w:r w:rsidR="000F0793">
        <w:rPr>
          <w:color w:val="000000"/>
        </w:rPr>
        <w:t xml:space="preserve">tjener som </w:t>
      </w:r>
      <w:r w:rsidRPr="001A6AA2">
        <w:rPr>
          <w:color w:val="000000"/>
        </w:rPr>
        <w:t>yngle- og/eller rasteområde for flagermus, vil</w:t>
      </w:r>
      <w:r>
        <w:rPr>
          <w:color w:val="000000"/>
        </w:rPr>
        <w:t xml:space="preserve"> der derfor som udgangspunkt altid </w:t>
      </w:r>
      <w:r w:rsidRPr="001A6AA2">
        <w:rPr>
          <w:color w:val="000000"/>
        </w:rPr>
        <w:t xml:space="preserve">være tale om en reduktion eller tab af den økologiske funktionalitet af den pågældende arts yngle- eller rasteområde, og dermed en </w:t>
      </w:r>
      <w:r>
        <w:rPr>
          <w:color w:val="000000"/>
        </w:rPr>
        <w:t xml:space="preserve">påvirkning, </w:t>
      </w:r>
      <w:r w:rsidRPr="001A6AA2">
        <w:rPr>
          <w:color w:val="000000"/>
        </w:rPr>
        <w:t>der er forbudt i henhold til habitatdirektivets artikel 12</w:t>
      </w:r>
      <w:r>
        <w:rPr>
          <w:color w:val="000000"/>
        </w:rPr>
        <w:t xml:space="preserve">, stk. 1, litra d). </w:t>
      </w:r>
      <w:r w:rsidRPr="001A6AA2">
        <w:rPr>
          <w:color w:val="000000"/>
        </w:rPr>
        <w:t> </w:t>
      </w:r>
    </w:p>
    <w:p w14:paraId="3A842A8B" w14:textId="77777777" w:rsidR="00E7224B" w:rsidRDefault="00E7224B" w:rsidP="00E7224B">
      <w:pPr>
        <w:ind w:right="-1759"/>
        <w:jc w:val="both"/>
        <w:rPr>
          <w:color w:val="000000"/>
        </w:rPr>
      </w:pPr>
    </w:p>
    <w:p w14:paraId="7B60E28C" w14:textId="18FA8D71" w:rsidR="00E7224B" w:rsidRDefault="00E7224B" w:rsidP="00E7224B">
      <w:pPr>
        <w:ind w:right="-1759"/>
        <w:jc w:val="both"/>
      </w:pPr>
      <w:r>
        <w:rPr>
          <w:color w:val="000000"/>
        </w:rPr>
        <w:t xml:space="preserve">Det er i </w:t>
      </w:r>
      <w:r w:rsidR="005D138C">
        <w:rPr>
          <w:color w:val="000000"/>
        </w:rPr>
        <w:t xml:space="preserve">denne forbindelse vigtigt at </w:t>
      </w:r>
      <w:r>
        <w:rPr>
          <w:color w:val="000000"/>
        </w:rPr>
        <w:t xml:space="preserve">tilføje, at både fysiske indgreb i yngle- eller rasteområder, men også andre former for påvirkning, </w:t>
      </w:r>
      <w:r w:rsidR="005D138C">
        <w:rPr>
          <w:color w:val="000000"/>
        </w:rPr>
        <w:t xml:space="preserve">f.eks. støj, </w:t>
      </w:r>
      <w:r>
        <w:rPr>
          <w:color w:val="000000"/>
        </w:rPr>
        <w:t xml:space="preserve">kan påvirke et </w:t>
      </w:r>
      <w:r w:rsidR="005D138C">
        <w:rPr>
          <w:color w:val="000000"/>
        </w:rPr>
        <w:t>o</w:t>
      </w:r>
      <w:r>
        <w:rPr>
          <w:color w:val="000000"/>
        </w:rPr>
        <w:t>mrådes økologiske funktionalitet.</w:t>
      </w:r>
      <w:r>
        <w:rPr>
          <w:rStyle w:val="Fodnotehenvisning"/>
          <w:color w:val="000000"/>
        </w:rPr>
        <w:footnoteReference w:id="24"/>
      </w:r>
      <w:r>
        <w:rPr>
          <w:color w:val="000000"/>
        </w:rPr>
        <w:t xml:space="preserve"> Ved vurderingen af, om den økologiske funktionalitet </w:t>
      </w:r>
      <w:r w:rsidR="005D138C">
        <w:rPr>
          <w:color w:val="000000"/>
        </w:rPr>
        <w:t xml:space="preserve">af området </w:t>
      </w:r>
      <w:r>
        <w:rPr>
          <w:color w:val="000000"/>
        </w:rPr>
        <w:t xml:space="preserve">kan opretholdes på mindst samme niveau som hidtil skal der således altid tages hensyn til de </w:t>
      </w:r>
      <w:r w:rsidRPr="00B229CC">
        <w:rPr>
          <w:color w:val="000000"/>
        </w:rPr>
        <w:t>økologiske krav, der gælder for hver enkelt af de berørte dyrearter, samt til situationen på individniveau for denne dyreart, som benytter det pågældende yngle- eller rasteområde.</w:t>
      </w:r>
      <w:r w:rsidRPr="00B7674B">
        <w:rPr>
          <w:rStyle w:val="Fodnotehenvisning"/>
        </w:rPr>
        <w:footnoteReference w:id="25"/>
      </w:r>
      <w:r w:rsidRPr="00B7674B">
        <w:t xml:space="preserve"> </w:t>
      </w:r>
    </w:p>
    <w:p w14:paraId="23346F47" w14:textId="608AAB73" w:rsidR="00A6230D" w:rsidRDefault="00A6230D" w:rsidP="00E7224B">
      <w:pPr>
        <w:ind w:right="-1759"/>
        <w:jc w:val="both"/>
      </w:pPr>
    </w:p>
    <w:p w14:paraId="01EEA2AB" w14:textId="7CAAA2AC" w:rsidR="00E7224B" w:rsidRDefault="00AD71CB" w:rsidP="00BA47F8">
      <w:pPr>
        <w:ind w:right="-1759"/>
        <w:jc w:val="both"/>
      </w:pPr>
      <w:r w:rsidRPr="00BC22E7">
        <w:rPr>
          <w:color w:val="000000"/>
        </w:rPr>
        <w:t xml:space="preserve">Viser vurderingen, at projektet kan skade den økologiske funktionalitet af et yngle- eller rasteområde for bilag IV-arter, bør man i overensstemmelse </w:t>
      </w:r>
      <w:r w:rsidR="006473AB" w:rsidRPr="00BC22E7">
        <w:rPr>
          <w:color w:val="000000"/>
        </w:rPr>
        <w:t xml:space="preserve">med </w:t>
      </w:r>
      <w:r w:rsidR="006473AB" w:rsidRPr="00BC22E7">
        <w:t>afværgehierarkiet</w:t>
      </w:r>
      <w:r w:rsidR="006473AB" w:rsidRPr="00BC22E7">
        <w:rPr>
          <w:rStyle w:val="Fodnotehenvisning"/>
        </w:rPr>
        <w:footnoteReference w:id="26"/>
      </w:r>
      <w:r w:rsidR="006473AB" w:rsidRPr="00BC22E7">
        <w:t xml:space="preserve"> søge at tilpasse projektet, så man i videst muligt omfang undgår skade</w:t>
      </w:r>
      <w:r w:rsidR="00E528A6" w:rsidRPr="00BC22E7">
        <w:t>n</w:t>
      </w:r>
      <w:r w:rsidR="006473AB" w:rsidRPr="00BC22E7">
        <w:t>.</w:t>
      </w:r>
      <w:r w:rsidR="006473AB" w:rsidRPr="00BC22E7">
        <w:rPr>
          <w:rStyle w:val="Fodnotehenvisning"/>
        </w:rPr>
        <w:footnoteReference w:id="27"/>
      </w:r>
      <w:r w:rsidR="006473AB">
        <w:t xml:space="preserve"> </w:t>
      </w:r>
      <w:r w:rsidR="00E7224B">
        <w:rPr>
          <w:color w:val="000000"/>
        </w:rPr>
        <w:t xml:space="preserve">Er det ikke muligt at tilpasse projektet således, at skaden </w:t>
      </w:r>
      <w:r w:rsidR="00254C61">
        <w:rPr>
          <w:color w:val="000000"/>
        </w:rPr>
        <w:t xml:space="preserve">på </w:t>
      </w:r>
      <w:r w:rsidR="00E7224B">
        <w:rPr>
          <w:color w:val="000000"/>
        </w:rPr>
        <w:t xml:space="preserve">den økologiske funktionalitet undgås, kan det i konkrete tilfælde være muligt at afværge skaden ved hjælp af foranstaltninger, der sikrer, at områdets </w:t>
      </w:r>
      <w:r w:rsidR="00E7224B" w:rsidRPr="00F97692">
        <w:t xml:space="preserve">økologiske funktionalitet ikke på noget tidspunkt udsættes for en reduktion eller tab. </w:t>
      </w:r>
      <w:r w:rsidR="00E7224B">
        <w:t>Disse foranstaltninger omtales i det nedenstående som ”</w:t>
      </w:r>
      <w:r w:rsidR="00E7224B" w:rsidRPr="00050243">
        <w:rPr>
          <w:i/>
        </w:rPr>
        <w:t>afværgeforanstaltninger</w:t>
      </w:r>
      <w:r w:rsidR="00E7224B">
        <w:t xml:space="preserve">”. </w:t>
      </w:r>
    </w:p>
    <w:p w14:paraId="3AE337B6" w14:textId="77777777" w:rsidR="00E7224B" w:rsidRDefault="00E7224B" w:rsidP="00E7224B">
      <w:pPr>
        <w:ind w:right="-1759"/>
        <w:jc w:val="both"/>
        <w:rPr>
          <w:color w:val="000000"/>
        </w:rPr>
      </w:pPr>
    </w:p>
    <w:p w14:paraId="3B381857" w14:textId="0FC32426" w:rsidR="00F866C3" w:rsidRPr="00F866C3" w:rsidRDefault="00F866C3" w:rsidP="00F866C3">
      <w:pPr>
        <w:pStyle w:val="Pktoverskrift"/>
        <w:rPr>
          <w:i/>
        </w:rPr>
      </w:pPr>
      <w:r w:rsidRPr="00F866C3">
        <w:rPr>
          <w:i/>
        </w:rPr>
        <w:t>Trin 4 og 5: Er der en høj grad af sikkerhed for, at den økologiske funktionalitet kan opretholdes ved hjælp af afværgeforanstaltninger?</w:t>
      </w:r>
    </w:p>
    <w:p w14:paraId="74263D3E" w14:textId="387B6C63" w:rsidR="00E7224B" w:rsidRDefault="00E7224B" w:rsidP="00E7224B">
      <w:pPr>
        <w:ind w:right="-1759"/>
        <w:jc w:val="both"/>
        <w:rPr>
          <w:color w:val="000000"/>
        </w:rPr>
      </w:pPr>
      <w:r w:rsidRPr="001234D8">
        <w:rPr>
          <w:color w:val="000000"/>
        </w:rPr>
        <w:t xml:space="preserve">De foranstaltninger, der iværksættes for at </w:t>
      </w:r>
      <w:r w:rsidRPr="00F866C3">
        <w:rPr>
          <w:i/>
          <w:color w:val="000000"/>
        </w:rPr>
        <w:t>opretholde</w:t>
      </w:r>
      <w:r w:rsidRPr="001234D8">
        <w:rPr>
          <w:color w:val="000000"/>
        </w:rPr>
        <w:t xml:space="preserve"> den øk</w:t>
      </w:r>
      <w:r>
        <w:rPr>
          <w:color w:val="000000"/>
        </w:rPr>
        <w:t xml:space="preserve">ologiske funktionalitet i yngle- </w:t>
      </w:r>
      <w:r w:rsidRPr="001234D8">
        <w:rPr>
          <w:color w:val="000000"/>
        </w:rPr>
        <w:t>eller rasteområder for de</w:t>
      </w:r>
      <w:r>
        <w:rPr>
          <w:color w:val="000000"/>
        </w:rPr>
        <w:t xml:space="preserve"> beskyttede arter, betegnes samlet set </w:t>
      </w:r>
      <w:r w:rsidRPr="001234D8">
        <w:rPr>
          <w:color w:val="000000"/>
        </w:rPr>
        <w:t>som "</w:t>
      </w:r>
      <w:r w:rsidRPr="004C57EF">
        <w:rPr>
          <w:i/>
          <w:color w:val="000000"/>
        </w:rPr>
        <w:t>afværgeforanstaltninger</w:t>
      </w:r>
      <w:r w:rsidRPr="001234D8">
        <w:rPr>
          <w:color w:val="000000"/>
        </w:rPr>
        <w:t>".</w:t>
      </w:r>
      <w:r w:rsidR="00B5413C">
        <w:rPr>
          <w:color w:val="000000"/>
        </w:rPr>
        <w:t xml:space="preserve"> Afværgeforanstaltninger har til formål at sikre, at bilag IV-arters yngle- eller rasteområder ikke på noget tidspunkt udsættes for en reduktion eller tab af økologisk funktionalitet. </w:t>
      </w:r>
      <w:r>
        <w:rPr>
          <w:color w:val="000000"/>
        </w:rPr>
        <w:t>Afværgeforanstaltninger bør ikke forveksles med ”</w:t>
      </w:r>
      <w:r w:rsidRPr="001C12B6">
        <w:rPr>
          <w:i/>
          <w:color w:val="000000"/>
        </w:rPr>
        <w:t>kompensationsforanstaltninger</w:t>
      </w:r>
      <w:r>
        <w:rPr>
          <w:color w:val="000000"/>
        </w:rPr>
        <w:t>”</w:t>
      </w:r>
      <w:r w:rsidR="00B5413C">
        <w:rPr>
          <w:color w:val="000000"/>
        </w:rPr>
        <w:t xml:space="preserve">, som kan anvendes i de tilfælde, hvor et projekt kræver fravigelse efter </w:t>
      </w:r>
      <w:r w:rsidR="008712B9">
        <w:rPr>
          <w:color w:val="000000"/>
        </w:rPr>
        <w:t xml:space="preserve">habitatbekendtgørelsens </w:t>
      </w:r>
      <w:r>
        <w:rPr>
          <w:color w:val="000000"/>
        </w:rPr>
        <w:t>fravigelsesbestemmelser (</w:t>
      </w:r>
      <w:r>
        <w:t>se herom nedenfor under pkt. 6).</w:t>
      </w:r>
    </w:p>
    <w:p w14:paraId="7A086B41" w14:textId="77777777" w:rsidR="00E7224B" w:rsidRDefault="00E7224B" w:rsidP="00E7224B">
      <w:pPr>
        <w:ind w:right="-1759"/>
        <w:jc w:val="both"/>
        <w:rPr>
          <w:color w:val="000000"/>
        </w:rPr>
      </w:pPr>
    </w:p>
    <w:p w14:paraId="640DBB7A" w14:textId="5CDF0730" w:rsidR="004C5932" w:rsidRDefault="00E7224B" w:rsidP="004C5932">
      <w:pPr>
        <w:ind w:right="-1759"/>
        <w:jc w:val="both"/>
        <w:rPr>
          <w:color w:val="000000"/>
        </w:rPr>
      </w:pPr>
      <w:r w:rsidRPr="00C640AD">
        <w:rPr>
          <w:color w:val="000000"/>
        </w:rPr>
        <w:t xml:space="preserve">Hvorvidt det i et konkret tilfælde er muligt at afværge skaden på den økologiske funktionalitet ved </w:t>
      </w:r>
      <w:r w:rsidR="00116959">
        <w:rPr>
          <w:color w:val="000000"/>
        </w:rPr>
        <w:t xml:space="preserve">brug af afværgeforanstaltninger, </w:t>
      </w:r>
      <w:r w:rsidRPr="00C640AD">
        <w:rPr>
          <w:color w:val="000000"/>
        </w:rPr>
        <w:t>afhænge</w:t>
      </w:r>
      <w:r w:rsidR="00116959">
        <w:rPr>
          <w:color w:val="000000"/>
        </w:rPr>
        <w:t>r</w:t>
      </w:r>
      <w:r w:rsidRPr="00C640AD">
        <w:rPr>
          <w:color w:val="000000"/>
        </w:rPr>
        <w:t xml:space="preserve"> af sagens konkrete omstændigheder. </w:t>
      </w:r>
      <w:r>
        <w:rPr>
          <w:color w:val="000000"/>
        </w:rPr>
        <w:t>Afværgeforanstaltninger er</w:t>
      </w:r>
      <w:r w:rsidRPr="001234D8">
        <w:rPr>
          <w:color w:val="000000"/>
        </w:rPr>
        <w:t xml:space="preserve"> velegnet for arter, som er hurtige til at kolonisere nye lokalit</w:t>
      </w:r>
      <w:r>
        <w:rPr>
          <w:color w:val="000000"/>
        </w:rPr>
        <w:t>eter inden for et net</w:t>
      </w:r>
      <w:r w:rsidRPr="001234D8">
        <w:rPr>
          <w:color w:val="000000"/>
        </w:rPr>
        <w:t>værk af lokaliteter, der udgør et samlet område for en best</w:t>
      </w:r>
      <w:r>
        <w:rPr>
          <w:color w:val="000000"/>
        </w:rPr>
        <w:t>and, og hvor nye egnede leveste</w:t>
      </w:r>
      <w:r w:rsidRPr="001234D8">
        <w:rPr>
          <w:color w:val="000000"/>
        </w:rPr>
        <w:t>der vil kunne skabes over en kortere tidsperiode.</w:t>
      </w:r>
      <w:r w:rsidR="00116959">
        <w:rPr>
          <w:rStyle w:val="Fodnotehenvisning"/>
          <w:color w:val="000000"/>
        </w:rPr>
        <w:footnoteReference w:id="28"/>
      </w:r>
      <w:r w:rsidRPr="001234D8">
        <w:rPr>
          <w:color w:val="000000"/>
        </w:rPr>
        <w:t xml:space="preserve"> </w:t>
      </w:r>
      <w:r>
        <w:rPr>
          <w:color w:val="000000"/>
        </w:rPr>
        <w:t xml:space="preserve">Der kan eksempelvis være tale om foranstaltninger, der erstatter den del eller de dele af yngle- eller rasteområdet, der kan blive beskadiget eller ødelagt, og dermed </w:t>
      </w:r>
      <w:r w:rsidRPr="001A6AA2">
        <w:rPr>
          <w:color w:val="000000"/>
        </w:rPr>
        <w:t>sikrer, at områdets økologiske funktionalitet ikke på noget tidspunkt udsættes for en</w:t>
      </w:r>
      <w:r>
        <w:rPr>
          <w:color w:val="000000"/>
        </w:rPr>
        <w:t xml:space="preserve"> reduktion eller tab. </w:t>
      </w:r>
      <w:r w:rsidR="004C5932" w:rsidRPr="00BC22E7">
        <w:rPr>
          <w:color w:val="000000"/>
          <w:shd w:val="clear" w:color="auto" w:fill="FFFFFF"/>
        </w:rPr>
        <w:t xml:space="preserve">En af forudsætninger herfor er, at erstatningen er </w:t>
      </w:r>
      <w:r w:rsidR="004C5932" w:rsidRPr="00BC22E7">
        <w:rPr>
          <w:color w:val="000000"/>
        </w:rPr>
        <w:t xml:space="preserve">funktionel senest ved indgrebets start. </w:t>
      </w:r>
    </w:p>
    <w:p w14:paraId="6D013E22" w14:textId="77777777" w:rsidR="0085497C" w:rsidRDefault="0085497C" w:rsidP="00E7224B">
      <w:pPr>
        <w:ind w:right="-1759"/>
        <w:jc w:val="both"/>
        <w:rPr>
          <w:color w:val="000000"/>
        </w:rPr>
      </w:pPr>
    </w:p>
    <w:p w14:paraId="2CFC1DC0" w14:textId="77777777" w:rsidR="004C5932" w:rsidRDefault="0085497C" w:rsidP="004C5932">
      <w:pPr>
        <w:ind w:right="-1759"/>
        <w:jc w:val="both"/>
        <w:rPr>
          <w:color w:val="000000"/>
        </w:rPr>
      </w:pPr>
      <w:r w:rsidRPr="00BC22E7">
        <w:rPr>
          <w:color w:val="000000"/>
          <w:shd w:val="clear" w:color="auto" w:fill="FFFFFF"/>
        </w:rPr>
        <w:t>Hvis yngle- eller rasteområdet som følge af afværgeforanstaltninger mindst bevarer den samme størrelse (eller udvides) og bevarer den samme (eller bedre) kvalitet for de pågældende arter, vil der ikke ske nogen forringelse af områdets funktion, kvalitet eller integritet.</w:t>
      </w:r>
      <w:r w:rsidRPr="00BC22E7">
        <w:rPr>
          <w:rStyle w:val="Fodnotehenvisning"/>
          <w:color w:val="000000"/>
          <w:shd w:val="clear" w:color="auto" w:fill="FFFFFF"/>
        </w:rPr>
        <w:footnoteReference w:id="29"/>
      </w:r>
      <w:r w:rsidRPr="00BC22E7">
        <w:rPr>
          <w:color w:val="000000"/>
          <w:shd w:val="clear" w:color="auto" w:fill="FFFFFF"/>
        </w:rPr>
        <w:t> </w:t>
      </w:r>
      <w:r w:rsidR="004C5932" w:rsidRPr="00BC22E7">
        <w:rPr>
          <w:color w:val="000000"/>
        </w:rPr>
        <w:t>Det afgørende er, at områdets fortsatte økologiske funktionalitet bevares eller forbedres.</w:t>
      </w:r>
      <w:r w:rsidR="004C5932">
        <w:rPr>
          <w:color w:val="000000"/>
        </w:rPr>
        <w:t xml:space="preserve"> </w:t>
      </w:r>
    </w:p>
    <w:p w14:paraId="157855DC" w14:textId="77777777" w:rsidR="000F0793" w:rsidRDefault="000F0793" w:rsidP="00E7224B">
      <w:pPr>
        <w:ind w:right="-1759"/>
        <w:jc w:val="both"/>
        <w:rPr>
          <w:color w:val="000000"/>
        </w:rPr>
      </w:pPr>
    </w:p>
    <w:p w14:paraId="54EF1AF9" w14:textId="3E3F3EDD" w:rsidR="00E7224B" w:rsidRPr="00C640AD" w:rsidRDefault="00E7224B" w:rsidP="00E7224B">
      <w:pPr>
        <w:ind w:right="-1759"/>
        <w:jc w:val="both"/>
        <w:rPr>
          <w:color w:val="000000"/>
        </w:rPr>
      </w:pPr>
      <w:r w:rsidRPr="00033457">
        <w:rPr>
          <w:color w:val="000000"/>
        </w:rPr>
        <w:t>Bilag IV-håndbogen indeholder anbefalinger til mulige afværgeforanstaltninger for en række bilag IV-arter.</w:t>
      </w:r>
      <w:r w:rsidR="00116959" w:rsidRPr="00033457">
        <w:rPr>
          <w:rStyle w:val="Fodnotehenvisning"/>
          <w:color w:val="000000"/>
        </w:rPr>
        <w:footnoteReference w:id="30"/>
      </w:r>
      <w:r w:rsidR="00116959" w:rsidRPr="00C640AD">
        <w:rPr>
          <w:color w:val="000000"/>
        </w:rPr>
        <w:t xml:space="preserve"> </w:t>
      </w:r>
      <w:r w:rsidRPr="00033457">
        <w:rPr>
          <w:color w:val="000000"/>
        </w:rPr>
        <w:t xml:space="preserve">Da </w:t>
      </w:r>
      <w:r w:rsidR="00116959">
        <w:rPr>
          <w:color w:val="000000"/>
        </w:rPr>
        <w:t>H</w:t>
      </w:r>
      <w:r w:rsidRPr="00033457">
        <w:rPr>
          <w:color w:val="000000"/>
        </w:rPr>
        <w:t>åndbogen</w:t>
      </w:r>
      <w:r w:rsidR="00FC49B7">
        <w:rPr>
          <w:color w:val="000000"/>
        </w:rPr>
        <w:t xml:space="preserve"> kun er vejledende</w:t>
      </w:r>
      <w:r w:rsidRPr="00033457">
        <w:rPr>
          <w:color w:val="000000"/>
        </w:rPr>
        <w:t>, er det dog altid nødvendigt konkret at vurdere, hvorvidt Håndbogens anbefalinger er relevante i den konkrete sag.</w:t>
      </w:r>
      <w:r w:rsidRPr="00C640AD">
        <w:rPr>
          <w:color w:val="000000"/>
        </w:rPr>
        <w:t xml:space="preserve"> </w:t>
      </w:r>
    </w:p>
    <w:p w14:paraId="73EA9925" w14:textId="77777777" w:rsidR="00E7224B" w:rsidRDefault="00E7224B" w:rsidP="00E7224B">
      <w:pPr>
        <w:ind w:right="-1759"/>
        <w:jc w:val="both"/>
        <w:rPr>
          <w:color w:val="000000"/>
        </w:rPr>
      </w:pPr>
    </w:p>
    <w:p w14:paraId="0F940124" w14:textId="5835BF9B" w:rsidR="00E7224B" w:rsidRDefault="00E7224B" w:rsidP="00E7224B">
      <w:pPr>
        <w:ind w:right="-1759"/>
        <w:jc w:val="both"/>
        <w:rPr>
          <w:color w:val="000000"/>
        </w:rPr>
      </w:pPr>
      <w:r>
        <w:rPr>
          <w:color w:val="000000"/>
        </w:rPr>
        <w:t>Afværgeforanstaltninger</w:t>
      </w:r>
      <w:r w:rsidRPr="001A6AA2">
        <w:rPr>
          <w:color w:val="000000"/>
        </w:rPr>
        <w:t xml:space="preserve"> skal i henhold til forsigtighedsprincippet medføre en </w:t>
      </w:r>
      <w:r w:rsidRPr="001A6AA2">
        <w:rPr>
          <w:i/>
          <w:color w:val="000000"/>
        </w:rPr>
        <w:t>høj grad af sikkerhed</w:t>
      </w:r>
      <w:r w:rsidRPr="001A6AA2">
        <w:rPr>
          <w:color w:val="000000"/>
        </w:rPr>
        <w:t xml:space="preserve"> for, at </w:t>
      </w:r>
      <w:r>
        <w:rPr>
          <w:color w:val="000000"/>
        </w:rPr>
        <w:t xml:space="preserve">de er </w:t>
      </w:r>
      <w:r w:rsidRPr="001A6AA2">
        <w:rPr>
          <w:color w:val="000000"/>
        </w:rPr>
        <w:t>tilstrækkelige til at undgå enhver beskadigelse eller ødelæggelse</w:t>
      </w:r>
      <w:r w:rsidR="002B5F02">
        <w:rPr>
          <w:color w:val="000000"/>
        </w:rPr>
        <w:t xml:space="preserve">. </w:t>
      </w:r>
      <w:r>
        <w:rPr>
          <w:color w:val="000000"/>
        </w:rPr>
        <w:t>V</w:t>
      </w:r>
      <w:r w:rsidRPr="001234D8">
        <w:rPr>
          <w:color w:val="000000"/>
        </w:rPr>
        <w:t xml:space="preserve">urderingen af sandsynligheden for </w:t>
      </w:r>
      <w:r>
        <w:rPr>
          <w:color w:val="000000"/>
        </w:rPr>
        <w:t xml:space="preserve">afværgeforanstaltningernes </w:t>
      </w:r>
      <w:r w:rsidRPr="001234D8">
        <w:rPr>
          <w:color w:val="000000"/>
        </w:rPr>
        <w:t xml:space="preserve">succes </w:t>
      </w:r>
      <w:r>
        <w:rPr>
          <w:color w:val="000000"/>
        </w:rPr>
        <w:t xml:space="preserve">skal </w:t>
      </w:r>
      <w:r w:rsidRPr="001234D8">
        <w:rPr>
          <w:color w:val="000000"/>
        </w:rPr>
        <w:t>foretages på grundlag af objektive oplysninger og det pågældende områdes karakteristika og specifikke miljøforhold</w:t>
      </w:r>
      <w:r>
        <w:rPr>
          <w:color w:val="000000"/>
        </w:rPr>
        <w:t>.</w:t>
      </w:r>
      <w:r>
        <w:rPr>
          <w:rStyle w:val="Fodnotehenvisning"/>
          <w:color w:val="000000"/>
        </w:rPr>
        <w:footnoteReference w:id="31"/>
      </w:r>
      <w:r>
        <w:rPr>
          <w:color w:val="000000"/>
        </w:rPr>
        <w:t xml:space="preserve"> Det er således altid en konkret vurdering, om der foreligger den nødvendige høje grad af sikkerhed for, at afværgeforanstaltningerne er tilstrækkelige. </w:t>
      </w:r>
    </w:p>
    <w:p w14:paraId="4FBAA158" w14:textId="77777777" w:rsidR="00082311" w:rsidRDefault="00082311" w:rsidP="00E7224B">
      <w:pPr>
        <w:ind w:right="-1759"/>
        <w:jc w:val="both"/>
        <w:rPr>
          <w:color w:val="000000"/>
        </w:rPr>
      </w:pPr>
    </w:p>
    <w:p w14:paraId="2F554755" w14:textId="77777777" w:rsidR="003301BF" w:rsidRDefault="00E7224B" w:rsidP="00E7224B">
      <w:pPr>
        <w:ind w:right="-1759"/>
        <w:jc w:val="both"/>
        <w:rPr>
          <w:color w:val="000000"/>
        </w:rPr>
      </w:pPr>
      <w:r>
        <w:rPr>
          <w:color w:val="000000"/>
        </w:rPr>
        <w:t xml:space="preserve">Vurderingen af, om den </w:t>
      </w:r>
      <w:r w:rsidRPr="00AD0059">
        <w:rPr>
          <w:color w:val="000000"/>
        </w:rPr>
        <w:t xml:space="preserve">økologiske funktionalitet </w:t>
      </w:r>
      <w:r>
        <w:rPr>
          <w:color w:val="000000"/>
        </w:rPr>
        <w:t xml:space="preserve">kan </w:t>
      </w:r>
      <w:r w:rsidRPr="00AD0059">
        <w:rPr>
          <w:color w:val="000000"/>
        </w:rPr>
        <w:t>opretholdes på mindst samme niveau som hidtil</w:t>
      </w:r>
      <w:r w:rsidR="00E66821">
        <w:rPr>
          <w:color w:val="000000"/>
        </w:rPr>
        <w:t>,</w:t>
      </w:r>
      <w:r>
        <w:rPr>
          <w:color w:val="000000"/>
        </w:rPr>
        <w:t xml:space="preserve"> forudsætter blandt andet </w:t>
      </w:r>
      <w:r w:rsidRPr="001A6AA2">
        <w:rPr>
          <w:color w:val="000000"/>
        </w:rPr>
        <w:t xml:space="preserve">et faktisk kendskab til </w:t>
      </w:r>
      <w:r>
        <w:rPr>
          <w:color w:val="000000"/>
        </w:rPr>
        <w:t xml:space="preserve">den berørte lokalitets funktion </w:t>
      </w:r>
      <w:r w:rsidRPr="001A6AA2">
        <w:rPr>
          <w:color w:val="000000"/>
        </w:rPr>
        <w:t xml:space="preserve">som yngle- og rasteområde isoleret set og som del af </w:t>
      </w:r>
      <w:r>
        <w:rPr>
          <w:color w:val="000000"/>
        </w:rPr>
        <w:t>det samlede yngle- og rasteområde.</w:t>
      </w:r>
      <w:r>
        <w:rPr>
          <w:rStyle w:val="Fodnotehenvisning"/>
          <w:color w:val="000000"/>
        </w:rPr>
        <w:footnoteReference w:id="32"/>
      </w:r>
      <w:r>
        <w:rPr>
          <w:color w:val="000000"/>
        </w:rPr>
        <w:t xml:space="preserve"> K</w:t>
      </w:r>
      <w:r w:rsidRPr="00AE60EB">
        <w:rPr>
          <w:color w:val="000000"/>
        </w:rPr>
        <w:t xml:space="preserve">endskabet til arternes forekomst i projektområdet kan </w:t>
      </w:r>
      <w:r>
        <w:rPr>
          <w:color w:val="000000"/>
        </w:rPr>
        <w:t xml:space="preserve">ligeledes </w:t>
      </w:r>
      <w:r w:rsidRPr="00AE60EB">
        <w:rPr>
          <w:color w:val="000000"/>
        </w:rPr>
        <w:t xml:space="preserve">have betydning for vurderingen af, om den økologiske funktionalitet af </w:t>
      </w:r>
      <w:r>
        <w:rPr>
          <w:color w:val="000000"/>
        </w:rPr>
        <w:t xml:space="preserve">et </w:t>
      </w:r>
      <w:r w:rsidRPr="00AE60EB">
        <w:rPr>
          <w:color w:val="000000"/>
        </w:rPr>
        <w:t xml:space="preserve">yngle- eller rasteområde </w:t>
      </w:r>
      <w:r>
        <w:rPr>
          <w:color w:val="000000"/>
        </w:rPr>
        <w:t>opret</w:t>
      </w:r>
      <w:r w:rsidRPr="004340BC">
        <w:rPr>
          <w:color w:val="000000"/>
        </w:rPr>
        <w:t>holdes på mindst samme niveau som hidtil.</w:t>
      </w:r>
      <w:r w:rsidRPr="004340BC">
        <w:t xml:space="preserve"> </w:t>
      </w:r>
      <w:r w:rsidRPr="00AE60EB">
        <w:rPr>
          <w:color w:val="000000"/>
        </w:rPr>
        <w:t xml:space="preserve">Er der tale om større usikkerhed i kendskabet til arternes konkrete forekomst i et område, </w:t>
      </w:r>
      <w:r w:rsidRPr="00AE60EB">
        <w:rPr>
          <w:color w:val="000000"/>
        </w:rPr>
        <w:lastRenderedPageBreak/>
        <w:t xml:space="preserve">eksempelvis hvis arten er svær at kortlægge, vil der som udgangspunkt være behov for større sikkerhed i form af flere eller mere vidtgående afværgeforanstaltninger. </w:t>
      </w:r>
      <w:r w:rsidRPr="00D06629">
        <w:rPr>
          <w:color w:val="000000"/>
        </w:rPr>
        <w:t>Herved kan man få vished for, at en aktivitet selv i værste fald ikke vil skade den økologiske funktionalitet, selvom man ikke er sikker på skadens faktiske størrelse.</w:t>
      </w:r>
      <w:r w:rsidR="008F7507" w:rsidRPr="008F7507">
        <w:rPr>
          <w:color w:val="000000"/>
        </w:rPr>
        <w:t xml:space="preserve"> </w:t>
      </w:r>
    </w:p>
    <w:p w14:paraId="6C6591E1" w14:textId="77777777" w:rsidR="003301BF" w:rsidRDefault="003301BF" w:rsidP="00E7224B">
      <w:pPr>
        <w:ind w:right="-1759"/>
        <w:jc w:val="both"/>
        <w:rPr>
          <w:color w:val="000000"/>
        </w:rPr>
      </w:pPr>
    </w:p>
    <w:p w14:paraId="237CC707" w14:textId="01AE4DB4" w:rsidR="007E63FD" w:rsidRDefault="003301BF" w:rsidP="005D2347">
      <w:pPr>
        <w:ind w:right="-1759"/>
        <w:jc w:val="both"/>
        <w:rPr>
          <w:color w:val="000000"/>
        </w:rPr>
      </w:pPr>
      <w:r>
        <w:rPr>
          <w:color w:val="000000"/>
        </w:rPr>
        <w:t>D</w:t>
      </w:r>
      <w:r w:rsidR="001723E7">
        <w:rPr>
          <w:color w:val="000000"/>
        </w:rPr>
        <w:t xml:space="preserve">et er </w:t>
      </w:r>
      <w:r w:rsidR="001723E7" w:rsidRPr="00BC22E7">
        <w:rPr>
          <w:i/>
          <w:color w:val="000000"/>
        </w:rPr>
        <w:t>forsigtighedsprincippet</w:t>
      </w:r>
      <w:r w:rsidR="001723E7" w:rsidRPr="00BC22E7">
        <w:rPr>
          <w:color w:val="000000"/>
        </w:rPr>
        <w:t>, der er styrende for, om afværgeforanstaltningerne kan anses for tilstrækkelige i forhold til at opretholde den fortsatte økologiske funktionalitet</w:t>
      </w:r>
      <w:r>
        <w:rPr>
          <w:color w:val="000000"/>
        </w:rPr>
        <w:t>.</w:t>
      </w:r>
      <w:r w:rsidR="001723E7">
        <w:rPr>
          <w:rStyle w:val="Fodnotehenvisning"/>
          <w:color w:val="000000"/>
        </w:rPr>
        <w:footnoteReference w:id="33"/>
      </w:r>
      <w:r w:rsidR="001723E7" w:rsidRPr="00BC22E7">
        <w:rPr>
          <w:color w:val="000000"/>
        </w:rPr>
        <w:t> </w:t>
      </w:r>
      <w:r>
        <w:rPr>
          <w:color w:val="000000"/>
        </w:rPr>
        <w:t>D</w:t>
      </w:r>
      <w:r w:rsidR="001723E7">
        <w:rPr>
          <w:color w:val="000000"/>
        </w:rPr>
        <w:t>e</w:t>
      </w:r>
      <w:r>
        <w:rPr>
          <w:color w:val="000000"/>
        </w:rPr>
        <w:t xml:space="preserve">tte ændrer dog ikke på, at de </w:t>
      </w:r>
      <w:r w:rsidR="001723E7">
        <w:rPr>
          <w:color w:val="000000"/>
        </w:rPr>
        <w:t xml:space="preserve">fastsatte </w:t>
      </w:r>
      <w:r w:rsidR="00635B0A">
        <w:rPr>
          <w:color w:val="000000"/>
        </w:rPr>
        <w:t xml:space="preserve">vilkår (om afværgeforanstaltninger) </w:t>
      </w:r>
      <w:r>
        <w:rPr>
          <w:color w:val="000000"/>
        </w:rPr>
        <w:t xml:space="preserve">skal, jf. det almindelige forvaltningsretlige </w:t>
      </w:r>
      <w:r w:rsidRPr="005520E2">
        <w:rPr>
          <w:i/>
          <w:color w:val="000000"/>
        </w:rPr>
        <w:t>proportionalitetsprincip</w:t>
      </w:r>
      <w:r>
        <w:rPr>
          <w:i/>
          <w:color w:val="000000"/>
        </w:rPr>
        <w:t xml:space="preserve">, </w:t>
      </w:r>
      <w:r w:rsidR="00635B0A">
        <w:rPr>
          <w:color w:val="000000"/>
        </w:rPr>
        <w:t xml:space="preserve">stå i rimeligt forhold til projektets art, placering og dimensioner samt omfanget af dets indvirkninger på miljøet. </w:t>
      </w:r>
    </w:p>
    <w:p w14:paraId="1E02D688" w14:textId="77777777" w:rsidR="00671720" w:rsidRDefault="00671720" w:rsidP="005D2347">
      <w:pPr>
        <w:ind w:right="-1759"/>
        <w:jc w:val="both"/>
        <w:rPr>
          <w:color w:val="000000"/>
        </w:rPr>
      </w:pPr>
    </w:p>
    <w:p w14:paraId="2FD94189" w14:textId="2AAA985E" w:rsidR="005D2347" w:rsidRPr="005520E2" w:rsidRDefault="00E7224B" w:rsidP="005D2347">
      <w:pPr>
        <w:ind w:right="-1759"/>
        <w:jc w:val="both"/>
        <w:rPr>
          <w:color w:val="000000"/>
          <w:highlight w:val="green"/>
        </w:rPr>
      </w:pPr>
      <w:r w:rsidRPr="003301BF">
        <w:rPr>
          <w:color w:val="000000"/>
        </w:rPr>
        <w:t>I de sager, hvor afværgeforanstaltninger er nødvendige for at opretholde den økologiske funktionalitet</w:t>
      </w:r>
      <w:r w:rsidR="008712B9" w:rsidRPr="003301BF">
        <w:rPr>
          <w:color w:val="000000"/>
        </w:rPr>
        <w:t>,</w:t>
      </w:r>
      <w:r w:rsidR="00635B0A" w:rsidRPr="003301BF">
        <w:rPr>
          <w:color w:val="000000"/>
        </w:rPr>
        <w:t xml:space="preserve"> ska</w:t>
      </w:r>
      <w:r w:rsidR="00BC15A1" w:rsidRPr="003301BF">
        <w:rPr>
          <w:color w:val="000000"/>
        </w:rPr>
        <w:t xml:space="preserve">l miljøkonsekvensrapportens vurdering af projektets indvirkning på bilag IV-arter indeholde </w:t>
      </w:r>
      <w:r w:rsidRPr="00C06EBB">
        <w:rPr>
          <w:color w:val="000000"/>
        </w:rPr>
        <w:t>en</w:t>
      </w:r>
      <w:r w:rsidRPr="00092D0C">
        <w:rPr>
          <w:color w:val="000000"/>
        </w:rPr>
        <w:t xml:space="preserve"> nærmere </w:t>
      </w:r>
      <w:r w:rsidR="0098598D">
        <w:rPr>
          <w:color w:val="000000"/>
        </w:rPr>
        <w:t>redegørelse for</w:t>
      </w:r>
      <w:r w:rsidRPr="00092D0C">
        <w:rPr>
          <w:color w:val="000000"/>
        </w:rPr>
        <w:t>, hvordan de konkret</w:t>
      </w:r>
      <w:r w:rsidR="005520E2">
        <w:rPr>
          <w:color w:val="000000"/>
        </w:rPr>
        <w:t>e</w:t>
      </w:r>
      <w:r w:rsidRPr="00092D0C">
        <w:rPr>
          <w:color w:val="000000"/>
        </w:rPr>
        <w:t xml:space="preserve"> afværgeforanstaltninger effektivt kan sikre, at den </w:t>
      </w:r>
      <w:r w:rsidRPr="00BC22E7">
        <w:rPr>
          <w:color w:val="000000"/>
        </w:rPr>
        <w:t xml:space="preserve">økologiske funktionalitet </w:t>
      </w:r>
      <w:r w:rsidR="007E63FD" w:rsidRPr="00BC22E7">
        <w:rPr>
          <w:color w:val="000000"/>
        </w:rPr>
        <w:t xml:space="preserve">af yngle- eller rasteområdet </w:t>
      </w:r>
      <w:r w:rsidRPr="00BC22E7">
        <w:rPr>
          <w:color w:val="000000"/>
        </w:rPr>
        <w:t>opretholdes på mindst samme niveau som hidtil.</w:t>
      </w:r>
      <w:r w:rsidRPr="00BC22E7">
        <w:rPr>
          <w:rStyle w:val="Fodnotehenvisning"/>
          <w:color w:val="000000"/>
        </w:rPr>
        <w:footnoteReference w:id="34"/>
      </w:r>
      <w:r w:rsidRPr="00BC22E7">
        <w:rPr>
          <w:color w:val="000000"/>
        </w:rPr>
        <w:t xml:space="preserve"> </w:t>
      </w:r>
      <w:r w:rsidR="003A6F63" w:rsidRPr="00BC22E7">
        <w:rPr>
          <w:color w:val="000000"/>
        </w:rPr>
        <w:t xml:space="preserve">I </w:t>
      </w:r>
      <w:r w:rsidR="000842E6" w:rsidRPr="00BC22E7">
        <w:rPr>
          <w:color w:val="000000"/>
        </w:rPr>
        <w:t xml:space="preserve">disse sager </w:t>
      </w:r>
      <w:r w:rsidR="003A6F63" w:rsidRPr="00BC22E7">
        <w:rPr>
          <w:color w:val="000000"/>
        </w:rPr>
        <w:t>skal der foreligge en</w:t>
      </w:r>
      <w:r w:rsidR="000842E6" w:rsidRPr="00BC22E7">
        <w:rPr>
          <w:color w:val="000000"/>
        </w:rPr>
        <w:t xml:space="preserve"> konkret faglig vurdering</w:t>
      </w:r>
      <w:r w:rsidR="003A6F63" w:rsidRPr="00BC22E7">
        <w:rPr>
          <w:color w:val="000000"/>
        </w:rPr>
        <w:t xml:space="preserve"> af sandsynligheden for</w:t>
      </w:r>
      <w:r w:rsidR="001165EB" w:rsidRPr="00BC22E7">
        <w:rPr>
          <w:color w:val="000000"/>
        </w:rPr>
        <w:t xml:space="preserve">, at afværgeforanstaltninger kan sikre, at </w:t>
      </w:r>
      <w:r w:rsidR="007E63FD" w:rsidRPr="00BC22E7">
        <w:rPr>
          <w:color w:val="000000"/>
          <w:shd w:val="clear" w:color="auto" w:fill="FFFFFF"/>
        </w:rPr>
        <w:t xml:space="preserve">den </w:t>
      </w:r>
      <w:r w:rsidR="001165EB" w:rsidRPr="00BC22E7">
        <w:rPr>
          <w:color w:val="000000"/>
          <w:shd w:val="clear" w:color="auto" w:fill="FFFFFF"/>
        </w:rPr>
        <w:t xml:space="preserve"> økologiske funktionalit</w:t>
      </w:r>
      <w:r w:rsidR="004C5932">
        <w:rPr>
          <w:color w:val="000000"/>
          <w:shd w:val="clear" w:color="auto" w:fill="FFFFFF"/>
        </w:rPr>
        <w:t xml:space="preserve">et forbliver fuldstændig intakt, </w:t>
      </w:r>
      <w:r w:rsidR="007E63FD" w:rsidRPr="00BC22E7">
        <w:rPr>
          <w:color w:val="000000"/>
          <w:shd w:val="clear" w:color="auto" w:fill="FFFFFF"/>
        </w:rPr>
        <w:t>når indgrebet har fundet sted.</w:t>
      </w:r>
      <w:r w:rsidR="001165EB" w:rsidRPr="00BC22E7">
        <w:rPr>
          <w:color w:val="000000"/>
          <w:shd w:val="clear" w:color="auto" w:fill="FFFFFF"/>
        </w:rPr>
        <w:t xml:space="preserve"> Den faglige vurdering skal </w:t>
      </w:r>
      <w:r w:rsidR="0098598D">
        <w:rPr>
          <w:color w:val="000000"/>
          <w:shd w:val="clear" w:color="auto" w:fill="FFFFFF"/>
        </w:rPr>
        <w:t>som udgangspunkt</w:t>
      </w:r>
      <w:r w:rsidR="0098598D" w:rsidRPr="00BC22E7">
        <w:rPr>
          <w:color w:val="000000"/>
          <w:shd w:val="clear" w:color="auto" w:fill="FFFFFF"/>
        </w:rPr>
        <w:t xml:space="preserve"> </w:t>
      </w:r>
      <w:r w:rsidR="001165EB" w:rsidRPr="00BC22E7">
        <w:rPr>
          <w:color w:val="000000"/>
          <w:shd w:val="clear" w:color="auto" w:fill="FFFFFF"/>
        </w:rPr>
        <w:t>forholde sig</w:t>
      </w:r>
      <w:r w:rsidR="007E63FD" w:rsidRPr="00BC22E7">
        <w:rPr>
          <w:color w:val="000000"/>
        </w:rPr>
        <w:t xml:space="preserve"> både til størrelsen</w:t>
      </w:r>
      <w:r w:rsidR="00BC15A1">
        <w:rPr>
          <w:color w:val="000000"/>
        </w:rPr>
        <w:t xml:space="preserve">, </w:t>
      </w:r>
      <w:r w:rsidR="007E63FD" w:rsidRPr="00BC22E7">
        <w:rPr>
          <w:color w:val="000000"/>
        </w:rPr>
        <w:t>kvaliteten</w:t>
      </w:r>
      <w:r w:rsidR="00BC15A1">
        <w:rPr>
          <w:color w:val="000000"/>
        </w:rPr>
        <w:t xml:space="preserve"> og funktionen</w:t>
      </w:r>
      <w:r w:rsidR="007E63FD" w:rsidRPr="00BC22E7">
        <w:rPr>
          <w:color w:val="000000"/>
        </w:rPr>
        <w:t xml:space="preserve"> af de berørte lokaliteter</w:t>
      </w:r>
      <w:r w:rsidR="00FE1210" w:rsidRPr="00BC22E7">
        <w:rPr>
          <w:color w:val="000000"/>
        </w:rPr>
        <w:t xml:space="preserve">, </w:t>
      </w:r>
      <w:r w:rsidR="007E63FD" w:rsidRPr="00BC22E7">
        <w:rPr>
          <w:color w:val="000000"/>
        </w:rPr>
        <w:t xml:space="preserve">og skal, som </w:t>
      </w:r>
      <w:r w:rsidR="00A27864" w:rsidRPr="00BC22E7">
        <w:rPr>
          <w:color w:val="000000"/>
        </w:rPr>
        <w:t>anført ovenfor</w:t>
      </w:r>
      <w:r w:rsidR="001165EB" w:rsidRPr="00BC22E7">
        <w:rPr>
          <w:color w:val="000000"/>
        </w:rPr>
        <w:t xml:space="preserve">, </w:t>
      </w:r>
      <w:r w:rsidR="00A27864" w:rsidRPr="00BC22E7">
        <w:rPr>
          <w:color w:val="000000"/>
        </w:rPr>
        <w:t>baseres på objektive oplysninger</w:t>
      </w:r>
      <w:r w:rsidR="007E63FD" w:rsidRPr="00BC22E7">
        <w:rPr>
          <w:color w:val="000000"/>
        </w:rPr>
        <w:t>.</w:t>
      </w:r>
      <w:r w:rsidR="00A27864" w:rsidRPr="00BC22E7">
        <w:rPr>
          <w:color w:val="000000"/>
        </w:rPr>
        <w:t xml:space="preserve"> </w:t>
      </w:r>
    </w:p>
    <w:p w14:paraId="0F997846" w14:textId="77777777" w:rsidR="00FE1210" w:rsidRPr="00BC22E7" w:rsidRDefault="00FE1210" w:rsidP="005D2347">
      <w:pPr>
        <w:ind w:right="-1759"/>
        <w:jc w:val="both"/>
        <w:rPr>
          <w:color w:val="000000"/>
        </w:rPr>
      </w:pPr>
    </w:p>
    <w:p w14:paraId="0B94AB9E" w14:textId="19A48DEE" w:rsidR="00BC22E7" w:rsidRPr="00BC22E7" w:rsidRDefault="008712B9" w:rsidP="00E7224B">
      <w:pPr>
        <w:ind w:right="-1759"/>
        <w:jc w:val="both"/>
        <w:rPr>
          <w:color w:val="000000"/>
        </w:rPr>
      </w:pPr>
      <w:r w:rsidRPr="00BC22E7">
        <w:t xml:space="preserve">Hvis afværgeforanstaltningerne ikke med høj grad af sikkerhed må forventes at ville virke i tilstrækkeligt omfang, skal projektet tilpasses, således at den umiddelbare skade på lokaliteten undgås. </w:t>
      </w:r>
      <w:r w:rsidR="00FE1210" w:rsidRPr="00BC22E7">
        <w:t>Der kan f.eks. være tale om en alternativ placering eller alternative aktiviteter, processer eller metoder.</w:t>
      </w:r>
      <w:r w:rsidR="002B13B5" w:rsidRPr="00BC22E7">
        <w:rPr>
          <w:color w:val="000000"/>
        </w:rPr>
        <w:t xml:space="preserve"> Bemærk </w:t>
      </w:r>
      <w:r w:rsidR="000B7810">
        <w:rPr>
          <w:color w:val="000000"/>
        </w:rPr>
        <w:t xml:space="preserve">også </w:t>
      </w:r>
      <w:r w:rsidR="002B13B5" w:rsidRPr="00BC22E7">
        <w:rPr>
          <w:color w:val="000000"/>
        </w:rPr>
        <w:t xml:space="preserve">i denne forbindelse, at det er en af betingelserne for eventuelt at fravige bilag IV-beskyttelsen, jf. herom nedenfor, at </w:t>
      </w:r>
      <w:r w:rsidR="002B7118" w:rsidRPr="00BC22E7">
        <w:rPr>
          <w:color w:val="000000"/>
        </w:rPr>
        <w:t xml:space="preserve">det påvises, at der ikke findes nogen anden tilfredsstillende eller brugbar løsning, dvs. </w:t>
      </w:r>
      <w:r w:rsidR="004C5932">
        <w:rPr>
          <w:color w:val="000000"/>
        </w:rPr>
        <w:t>at</w:t>
      </w:r>
      <w:r w:rsidR="002B7118" w:rsidRPr="00BC22E7">
        <w:rPr>
          <w:color w:val="000000"/>
        </w:rPr>
        <w:t xml:space="preserve"> formålet med projektet </w:t>
      </w:r>
      <w:r w:rsidR="004C5932">
        <w:rPr>
          <w:color w:val="000000"/>
        </w:rPr>
        <w:t xml:space="preserve">ikke </w:t>
      </w:r>
      <w:r w:rsidR="002B7118" w:rsidRPr="00BC22E7">
        <w:rPr>
          <w:color w:val="000000"/>
        </w:rPr>
        <w:t xml:space="preserve">kan opnås </w:t>
      </w:r>
      <w:r w:rsidR="00BC22E7" w:rsidRPr="00BC22E7">
        <w:rPr>
          <w:color w:val="000000"/>
        </w:rPr>
        <w:t>ved anvendelse af mindre indgribende midler.</w:t>
      </w:r>
    </w:p>
    <w:p w14:paraId="4672A5BF" w14:textId="77777777" w:rsidR="005F3391" w:rsidRDefault="005F3391" w:rsidP="00E7224B">
      <w:pPr>
        <w:ind w:right="-1759"/>
        <w:rPr>
          <w:color w:val="000000"/>
        </w:rPr>
      </w:pPr>
    </w:p>
    <w:p w14:paraId="0EAE39D2" w14:textId="7DAA3117" w:rsidR="00E7224B" w:rsidRPr="00EC0C5D" w:rsidRDefault="00E7224B" w:rsidP="00E7224B">
      <w:pPr>
        <w:ind w:right="-1759"/>
        <w:jc w:val="both"/>
        <w:rPr>
          <w:color w:val="000000"/>
        </w:rPr>
      </w:pPr>
      <w:r>
        <w:rPr>
          <w:color w:val="000000"/>
        </w:rPr>
        <w:t xml:space="preserve">Kan en </w:t>
      </w:r>
      <w:r w:rsidRPr="00C1570A">
        <w:rPr>
          <w:color w:val="000000"/>
        </w:rPr>
        <w:t>eventuel beskadigelse eller ødelæggelse af bilag IV-arters yngle- eller rasteområder</w:t>
      </w:r>
      <w:r>
        <w:rPr>
          <w:color w:val="000000"/>
        </w:rPr>
        <w:t xml:space="preserve"> – på trods af projekttilpasninge</w:t>
      </w:r>
      <w:r w:rsidR="008712B9">
        <w:rPr>
          <w:color w:val="000000"/>
        </w:rPr>
        <w:t>r</w:t>
      </w:r>
      <w:r>
        <w:rPr>
          <w:color w:val="000000"/>
        </w:rPr>
        <w:t xml:space="preserve"> - </w:t>
      </w:r>
      <w:r w:rsidRPr="00C1570A">
        <w:rPr>
          <w:color w:val="000000"/>
        </w:rPr>
        <w:t xml:space="preserve">ikke med en høj grad af sikkerhed udelukkes eller afværges, kan projektet kun tillades </w:t>
      </w:r>
      <w:r>
        <w:rPr>
          <w:color w:val="000000"/>
        </w:rPr>
        <w:t>e</w:t>
      </w:r>
      <w:r w:rsidRPr="00C1570A">
        <w:rPr>
          <w:color w:val="000000"/>
        </w:rPr>
        <w:t xml:space="preserve">fter fravigelsesbestemmelser i habitatbekendtgørelsen § 11. </w:t>
      </w:r>
      <w:r>
        <w:rPr>
          <w:color w:val="000000"/>
        </w:rPr>
        <w:t>Dette forudsætter dog, at den kompetente myndighed vurderer, at alle betingelser, der fremgår af bestemmelsen, er opfyldt (</w:t>
      </w:r>
      <w:r>
        <w:t>se herom nedenfor under pkt. 6).</w:t>
      </w:r>
      <w:r w:rsidR="00FE1210" w:rsidRPr="00FE1210">
        <w:rPr>
          <w:color w:val="000000"/>
        </w:rPr>
        <w:t xml:space="preserve"> </w:t>
      </w:r>
    </w:p>
    <w:p w14:paraId="4CECEFC0" w14:textId="77777777" w:rsidR="00E7224B" w:rsidRDefault="00E7224B" w:rsidP="00E7224B">
      <w:pPr>
        <w:ind w:right="-1759"/>
        <w:rPr>
          <w:color w:val="000000"/>
        </w:rPr>
      </w:pPr>
    </w:p>
    <w:p w14:paraId="38B67703" w14:textId="5EFC5E49" w:rsidR="00E7224B" w:rsidRPr="00F866C3" w:rsidRDefault="00F866C3" w:rsidP="002A2467">
      <w:pPr>
        <w:pStyle w:val="Pktoverskrift"/>
        <w:rPr>
          <w:i/>
        </w:rPr>
      </w:pPr>
      <w:r w:rsidRPr="00F866C3">
        <w:rPr>
          <w:i/>
        </w:rPr>
        <w:t>Trin 6: Er alle fravigelsesbetingelser opfyldt?</w:t>
      </w:r>
    </w:p>
    <w:p w14:paraId="4B0074E6" w14:textId="77777777" w:rsidR="00E7224B" w:rsidRDefault="00E7224B" w:rsidP="00E7224B">
      <w:pPr>
        <w:ind w:right="-1759"/>
        <w:jc w:val="both"/>
        <w:rPr>
          <w:color w:val="000000"/>
        </w:rPr>
      </w:pPr>
      <w:r w:rsidRPr="007557CD">
        <w:rPr>
          <w:color w:val="000000"/>
        </w:rPr>
        <w:t>Hvis en eventuel skade på den økologiske funktionalitet ikke med en høj grad af sikkerhed kan udelukkes eller afværges, kan projektet kun tillades efter fravigelsesbestemmelsen i habitatbekendtgørelsen § 11.</w:t>
      </w:r>
    </w:p>
    <w:p w14:paraId="6B9167FB" w14:textId="77777777" w:rsidR="00E7224B" w:rsidRDefault="00E7224B" w:rsidP="00E7224B">
      <w:pPr>
        <w:ind w:right="-1759"/>
        <w:jc w:val="both"/>
        <w:rPr>
          <w:color w:val="000000"/>
        </w:rPr>
      </w:pPr>
    </w:p>
    <w:p w14:paraId="76CC9696" w14:textId="56CC91FD" w:rsidR="002B13B5" w:rsidRPr="00BC22E7" w:rsidRDefault="00E7224B" w:rsidP="00E7224B">
      <w:pPr>
        <w:ind w:right="-1759"/>
        <w:jc w:val="both"/>
        <w:rPr>
          <w:color w:val="000000"/>
        </w:rPr>
      </w:pPr>
      <w:r w:rsidRPr="00BC22E7">
        <w:rPr>
          <w:color w:val="000000"/>
        </w:rPr>
        <w:lastRenderedPageBreak/>
        <w:t xml:space="preserve">Af habitatbekendtgørelsens § 11, stk. 1, fremgår det, at myndigheden kan fravige beskyttelsen af yngle- og rasteområder for bilag IV-arter efter </w:t>
      </w:r>
      <w:r w:rsidR="00E0632B" w:rsidRPr="00BC22E7">
        <w:rPr>
          <w:color w:val="000000"/>
        </w:rPr>
        <w:t xml:space="preserve">habitatbekendtgørelsens </w:t>
      </w:r>
      <w:r w:rsidRPr="00BC22E7">
        <w:rPr>
          <w:color w:val="000000"/>
        </w:rPr>
        <w:t xml:space="preserve">§ 10, hvis der ikke findes et tilfredsstillende alternativ, og hvis fravigelsen ikke hindrer, at den pågældende bestands bevaringsstatus opretholdes i dens naturlige udbredelsesområde. Fravigelse kan herudover kun ske i en række nærmere angivne situationer, jf. </w:t>
      </w:r>
      <w:r w:rsidR="00E0632B" w:rsidRPr="00BC22E7">
        <w:rPr>
          <w:color w:val="000000"/>
        </w:rPr>
        <w:t xml:space="preserve">habitatbekendtgørelsens </w:t>
      </w:r>
      <w:r w:rsidRPr="00BC22E7">
        <w:rPr>
          <w:color w:val="000000"/>
        </w:rPr>
        <w:t>§ 11, stk. 1, nr. 1-4. Det gælder bl.a., når det ansøgte har til formål at sikre hensyn til den offentlige sundhed og sikkerhed eller af andre bydende nødvendige hensyn til væsentlige samfundsinteresser, herunder af social og økonomisk art, og hensyn til væsentlige gavnlige virkninger på miljøet, jf. habitatbekendtgørelsens § 11, stk. 1, nr. 3.</w:t>
      </w:r>
    </w:p>
    <w:p w14:paraId="22D43FD3" w14:textId="5F541219" w:rsidR="00E7224B" w:rsidRPr="00BC22E7" w:rsidRDefault="00E7224B" w:rsidP="00E7224B">
      <w:pPr>
        <w:ind w:right="-1759"/>
        <w:jc w:val="both"/>
        <w:rPr>
          <w:color w:val="000000"/>
        </w:rPr>
      </w:pPr>
    </w:p>
    <w:p w14:paraId="525129F9" w14:textId="62E0E309" w:rsidR="00191860" w:rsidRPr="00BC22E7" w:rsidRDefault="000F0793" w:rsidP="00E7224B">
      <w:pPr>
        <w:ind w:right="-1759"/>
        <w:jc w:val="both"/>
      </w:pPr>
      <w:r w:rsidRPr="00BC22E7">
        <w:t xml:space="preserve">Det er ikke en betingelse for fravigelse efter </w:t>
      </w:r>
      <w:r w:rsidR="00191860" w:rsidRPr="00BC22E7">
        <w:t xml:space="preserve">habitatbekendtgørelsens § 11, at </w:t>
      </w:r>
      <w:r w:rsidRPr="00BC22E7">
        <w:t xml:space="preserve">der gennemføres kompensationsforanstaltninger. </w:t>
      </w:r>
      <w:r w:rsidR="00191860" w:rsidRPr="00BC22E7">
        <w:t>Eventuelle kompensationsforanstaltninger kan dog indgå i vurderingen af, om fravigelsen vil hindre, at den pågældende bestands bevaringsstatus opretholdes, jf. habitatbekendtgørelsens § 11. stk. 1, 2. led.</w:t>
      </w:r>
      <w:r w:rsidR="00191860" w:rsidRPr="00BC22E7">
        <w:rPr>
          <w:rStyle w:val="Fodnotehenvisning"/>
        </w:rPr>
        <w:footnoteReference w:id="35"/>
      </w:r>
    </w:p>
    <w:p w14:paraId="7F5826B0" w14:textId="77777777" w:rsidR="000F0793" w:rsidRPr="00BC22E7" w:rsidRDefault="000F0793" w:rsidP="00E7224B">
      <w:pPr>
        <w:ind w:right="-1759"/>
        <w:jc w:val="both"/>
        <w:rPr>
          <w:color w:val="000000"/>
        </w:rPr>
      </w:pPr>
    </w:p>
    <w:p w14:paraId="43A13A26" w14:textId="77777777" w:rsidR="00E7224B" w:rsidRDefault="00E7224B" w:rsidP="00E7224B">
      <w:pPr>
        <w:ind w:right="-1759"/>
        <w:jc w:val="both"/>
        <w:rPr>
          <w:color w:val="000000"/>
        </w:rPr>
      </w:pPr>
      <w:r w:rsidRPr="00BC22E7">
        <w:rPr>
          <w:color w:val="000000"/>
        </w:rPr>
        <w:t>For projekter om vedvarende energi gælder der særlige regler for vurderingen af, om fravigelsesbetingelserne i habitatbekendtgørelsens § 11 er opfyldt</w:t>
      </w:r>
      <w:r>
        <w:rPr>
          <w:color w:val="000000"/>
        </w:rPr>
        <w:t xml:space="preserve">. </w:t>
      </w:r>
    </w:p>
    <w:p w14:paraId="1B409BFF" w14:textId="77777777" w:rsidR="00E7224B" w:rsidRDefault="00E7224B" w:rsidP="00E7224B">
      <w:pPr>
        <w:ind w:right="-1759"/>
        <w:jc w:val="both"/>
        <w:rPr>
          <w:color w:val="000000"/>
        </w:rPr>
      </w:pPr>
    </w:p>
    <w:p w14:paraId="18AD5776" w14:textId="618B6334" w:rsidR="00E0632B" w:rsidRDefault="00E7224B" w:rsidP="00E7224B">
      <w:pPr>
        <w:ind w:right="-1759"/>
        <w:jc w:val="both"/>
        <w:rPr>
          <w:color w:val="000000"/>
        </w:rPr>
      </w:pPr>
      <w:r>
        <w:rPr>
          <w:color w:val="000000"/>
        </w:rPr>
        <w:t>Det følger af § 3, nr. 2, i kontaktpunkt</w:t>
      </w:r>
      <w:r w:rsidR="00A23834">
        <w:rPr>
          <w:color w:val="000000"/>
        </w:rPr>
        <w:t>s</w:t>
      </w:r>
      <w:r>
        <w:rPr>
          <w:color w:val="000000"/>
        </w:rPr>
        <w:t>bekendtgørelsen,</w:t>
      </w:r>
      <w:r>
        <w:rPr>
          <w:rStyle w:val="Fodnotehenvisning"/>
          <w:color w:val="000000"/>
        </w:rPr>
        <w:footnoteReference w:id="36"/>
      </w:r>
      <w:r>
        <w:rPr>
          <w:color w:val="000000"/>
        </w:rPr>
        <w:t xml:space="preserve"> at indtil der er opnået klimaneutralitet</w:t>
      </w:r>
      <w:r w:rsidR="00E0632B">
        <w:rPr>
          <w:color w:val="000000"/>
        </w:rPr>
        <w:t>,</w:t>
      </w:r>
      <w:r>
        <w:rPr>
          <w:color w:val="000000"/>
        </w:rPr>
        <w:t xml:space="preserve"> formodes planlægning, </w:t>
      </w:r>
      <w:r w:rsidRPr="002B7B8C">
        <w:rPr>
          <w:color w:val="000000"/>
        </w:rPr>
        <w:t>opførelse og drift af VE-anlæg, sådanne anlægs tilslutning til nettet, selve det tilknyttede net og lagringsaktiver at være af væsentlig samfundsmæssig interesse og at tjene den offentlige sundhed og sikkerhed i forbindelse med afvejningen af retlige interesser i de individuelle tilfælde med henblik på</w:t>
      </w:r>
      <w:r>
        <w:rPr>
          <w:color w:val="000000"/>
        </w:rPr>
        <w:t xml:space="preserve"> vurdering efter § 11, stk. 1, nr. 3, i habitatbekendtgørelsen. </w:t>
      </w:r>
    </w:p>
    <w:p w14:paraId="4D010AD4" w14:textId="77777777" w:rsidR="00E7224B" w:rsidRDefault="00E7224B" w:rsidP="00E7224B">
      <w:pPr>
        <w:ind w:right="-1759"/>
        <w:jc w:val="both"/>
        <w:rPr>
          <w:color w:val="000000"/>
        </w:rPr>
      </w:pPr>
    </w:p>
    <w:p w14:paraId="3C09535D" w14:textId="15DFFECE" w:rsidR="00E7224B" w:rsidRDefault="00E7224B" w:rsidP="00E7224B">
      <w:pPr>
        <w:ind w:right="-1759"/>
        <w:jc w:val="both"/>
        <w:rPr>
          <w:color w:val="000000"/>
        </w:rPr>
      </w:pPr>
      <w:r>
        <w:rPr>
          <w:color w:val="000000"/>
        </w:rPr>
        <w:t xml:space="preserve">For så vidt angår vurderingen af, om der findes et tilfredsstillede alternativ, jf. habitatbekendtgørelsens § 11, stk. 1, fremgår det af § 4, stk. 1, </w:t>
      </w:r>
      <w:r w:rsidR="00A23834">
        <w:rPr>
          <w:color w:val="000000"/>
        </w:rPr>
        <w:t xml:space="preserve">jf. stk. 4, nr. 1, </w:t>
      </w:r>
      <w:r>
        <w:rPr>
          <w:color w:val="000000"/>
        </w:rPr>
        <w:t>i nød</w:t>
      </w:r>
      <w:r w:rsidR="00773731">
        <w:rPr>
          <w:color w:val="000000"/>
        </w:rPr>
        <w:t>forordnings</w:t>
      </w:r>
      <w:r>
        <w:rPr>
          <w:color w:val="000000"/>
        </w:rPr>
        <w:t>bekendtgørelsen,</w:t>
      </w:r>
      <w:r>
        <w:rPr>
          <w:rStyle w:val="Fodnotehenvisning"/>
          <w:color w:val="000000"/>
        </w:rPr>
        <w:footnoteReference w:id="37"/>
      </w:r>
      <w:r>
        <w:rPr>
          <w:color w:val="000000"/>
        </w:rPr>
        <w:t xml:space="preserve"> at når der med henblik på § 11, stk. 1, i habitatbekendtgørelsen </w:t>
      </w:r>
      <w:r w:rsidRPr="000E0F75">
        <w:rPr>
          <w:color w:val="000000"/>
        </w:rPr>
        <w:t>vurderes, om der ikke findes noget tilfredsstillende alternativ til et projekt vedrørende et anlæg eller en installation til produktion af energi fra vedvarende energikilder og projektets tilslutning til nettet, skal denne betingelse anses for opfyldt, hvis der ikke findes en tilfredsstillende alternativ løsning, der kan opfylde det samme mål som det pågældende projekt, navnlig hvad angår udvikling af samme kapacitet inden for vedvarende energi ved hjælp af samme teknologi til vedvarende energi, inden for samme eller lignende tidshorisont, og uden at det medfører væsentligt højere omkostninger.</w:t>
      </w:r>
    </w:p>
    <w:p w14:paraId="4CCFE349" w14:textId="77777777" w:rsidR="00E7224B" w:rsidRDefault="00E7224B" w:rsidP="00E7224B">
      <w:pPr>
        <w:ind w:right="-1759"/>
        <w:jc w:val="both"/>
        <w:rPr>
          <w:color w:val="000000"/>
        </w:rPr>
      </w:pPr>
    </w:p>
    <w:p w14:paraId="5E4F52D1" w14:textId="65D2247A" w:rsidR="00E7224B" w:rsidRDefault="00E0632B" w:rsidP="00E7224B">
      <w:pPr>
        <w:ind w:right="-1759"/>
        <w:jc w:val="both"/>
        <w:rPr>
          <w:color w:val="000000"/>
        </w:rPr>
      </w:pPr>
      <w:r>
        <w:rPr>
          <w:color w:val="000000"/>
        </w:rPr>
        <w:t xml:space="preserve">Derudover fremgår det af </w:t>
      </w:r>
      <w:r w:rsidR="00E7224B">
        <w:rPr>
          <w:color w:val="000000"/>
        </w:rPr>
        <w:t xml:space="preserve">§ 4, stk. 2, </w:t>
      </w:r>
      <w:r w:rsidR="00773731">
        <w:rPr>
          <w:color w:val="000000"/>
        </w:rPr>
        <w:t xml:space="preserve">jf. stk. 4, nr. 2, </w:t>
      </w:r>
      <w:r w:rsidR="00E7224B">
        <w:rPr>
          <w:color w:val="000000"/>
        </w:rPr>
        <w:t>i nød</w:t>
      </w:r>
      <w:r w:rsidR="00773731">
        <w:rPr>
          <w:color w:val="000000"/>
        </w:rPr>
        <w:t>forordnings</w:t>
      </w:r>
      <w:r w:rsidR="00E7224B">
        <w:rPr>
          <w:color w:val="000000"/>
        </w:rPr>
        <w:t xml:space="preserve">bekendtgørelsen, at når der med henblik på § 11, stk. 1, i habitatbekendtgørelsen </w:t>
      </w:r>
      <w:r w:rsidR="00E7224B" w:rsidRPr="000E0F75">
        <w:rPr>
          <w:color w:val="000000"/>
        </w:rPr>
        <w:t>vurderes</w:t>
      </w:r>
      <w:r w:rsidR="00E7224B">
        <w:rPr>
          <w:color w:val="000000"/>
        </w:rPr>
        <w:t xml:space="preserve">, </w:t>
      </w:r>
      <w:r w:rsidR="00E7224B" w:rsidRPr="000E0F75">
        <w:rPr>
          <w:color w:val="000000"/>
        </w:rPr>
        <w:t xml:space="preserve">om der ikke findes noget tilfredsstillende alternativ til et netinfrastrukturprojekt, som er nødvendigt for at integrere vedvarende </w:t>
      </w:r>
      <w:r w:rsidR="00E7224B" w:rsidRPr="000E0F75">
        <w:rPr>
          <w:color w:val="000000"/>
        </w:rPr>
        <w:lastRenderedPageBreak/>
        <w:t>energikilder i elektricitetssystemet, skal denne betingelse anses for opfyldt, hvis der ikke findes nogen tilfredsstillende alternativ løsning, der kan opfylde det samme mål som det pågældende projekt inden for samme eller lignende tidshorisont, og uden at det medfører væsentligt højere omkostninger.</w:t>
      </w:r>
    </w:p>
    <w:p w14:paraId="2428F9F6" w14:textId="77777777" w:rsidR="00E7224B" w:rsidRDefault="00E7224B" w:rsidP="00E7224B">
      <w:pPr>
        <w:ind w:right="-1759"/>
        <w:jc w:val="both"/>
        <w:rPr>
          <w:color w:val="000000"/>
        </w:rPr>
      </w:pPr>
    </w:p>
    <w:p w14:paraId="530A2AA2" w14:textId="37B853D6" w:rsidR="00E7224B" w:rsidRDefault="00E7224B" w:rsidP="00E7224B">
      <w:pPr>
        <w:ind w:right="-1759"/>
        <w:jc w:val="both"/>
        <w:rPr>
          <w:color w:val="000000"/>
        </w:rPr>
      </w:pPr>
      <w:r>
        <w:rPr>
          <w:color w:val="000000"/>
        </w:rPr>
        <w:t>Bemærk dog, at bestemmelserne i nød</w:t>
      </w:r>
      <w:r w:rsidR="001B3714">
        <w:rPr>
          <w:color w:val="000000"/>
        </w:rPr>
        <w:t>forordnings</w:t>
      </w:r>
      <w:r>
        <w:rPr>
          <w:color w:val="000000"/>
        </w:rPr>
        <w:t xml:space="preserve">bekendtgørelsen har en begrænset anvendelsesperiode, og bekendtgørelsens § 4, stk. 1 og 2, finder alene anvendelse på tilladelsesprocesser, der er påbegyndt i den tidsperiode, der </w:t>
      </w:r>
      <w:r w:rsidR="00E0632B">
        <w:rPr>
          <w:color w:val="000000"/>
        </w:rPr>
        <w:t xml:space="preserve">er defineret </w:t>
      </w:r>
      <w:r>
        <w:rPr>
          <w:color w:val="000000"/>
        </w:rPr>
        <w:t>i nød</w:t>
      </w:r>
      <w:r w:rsidR="001B3714">
        <w:rPr>
          <w:color w:val="000000"/>
        </w:rPr>
        <w:t>forordnings</w:t>
      </w:r>
      <w:r>
        <w:rPr>
          <w:color w:val="000000"/>
        </w:rPr>
        <w:t>bekendtgørelsens § 2.</w:t>
      </w:r>
    </w:p>
    <w:p w14:paraId="37C75B02" w14:textId="77777777" w:rsidR="000F0793" w:rsidRDefault="000F0793" w:rsidP="00E7224B">
      <w:pPr>
        <w:ind w:right="-1759"/>
        <w:jc w:val="both"/>
        <w:rPr>
          <w:color w:val="000000"/>
        </w:rPr>
      </w:pPr>
    </w:p>
    <w:p w14:paraId="0E55EC61" w14:textId="10A48BF9" w:rsidR="00E7224B" w:rsidRDefault="00E7224B" w:rsidP="00E7224B">
      <w:pPr>
        <w:ind w:right="-1759"/>
        <w:jc w:val="both"/>
        <w:rPr>
          <w:color w:val="000000"/>
        </w:rPr>
      </w:pPr>
      <w:r w:rsidRPr="00E23013">
        <w:rPr>
          <w:color w:val="000000"/>
        </w:rPr>
        <w:t>Før der træffes afgørelse om at fravige</w:t>
      </w:r>
      <w:r>
        <w:rPr>
          <w:color w:val="000000"/>
        </w:rPr>
        <w:t xml:space="preserve"> beskyttelsen af bilag IV-arters yngle- og rasteområder </w:t>
      </w:r>
      <w:r w:rsidRPr="00E23013">
        <w:rPr>
          <w:color w:val="000000"/>
        </w:rPr>
        <w:t xml:space="preserve">skal den pågældende myndighed indhente udtalelse fra </w:t>
      </w:r>
      <w:r w:rsidR="001B3714">
        <w:rPr>
          <w:color w:val="000000"/>
        </w:rPr>
        <w:t xml:space="preserve">ministeren for Grøn Trepart (tidligere </w:t>
      </w:r>
      <w:r w:rsidR="001B3714" w:rsidRPr="00E23013">
        <w:rPr>
          <w:color w:val="000000"/>
        </w:rPr>
        <w:t>miljøministeren</w:t>
      </w:r>
      <w:r w:rsidR="001B3714">
        <w:rPr>
          <w:color w:val="000000"/>
        </w:rPr>
        <w:t>)</w:t>
      </w:r>
      <w:r>
        <w:rPr>
          <w:color w:val="000000"/>
        </w:rPr>
        <w:t>, jf. habitatbekendtgørelsens § 11, stk. 3.</w:t>
      </w:r>
      <w:r w:rsidR="001B3714">
        <w:rPr>
          <w:color w:val="000000"/>
        </w:rPr>
        <w:t xml:space="preserve"> </w:t>
      </w:r>
      <w:r>
        <w:rPr>
          <w:color w:val="000000"/>
        </w:rPr>
        <w:t xml:space="preserve">I den forbindelse er det vigtigt at fremhæve, at for at ministeren </w:t>
      </w:r>
      <w:r w:rsidR="001B3714">
        <w:rPr>
          <w:color w:val="000000"/>
        </w:rPr>
        <w:t xml:space="preserve">for Grøn Trepart </w:t>
      </w:r>
      <w:r>
        <w:rPr>
          <w:color w:val="000000"/>
        </w:rPr>
        <w:t xml:space="preserve">kan komme med en udtalelse, er der behov for, at sagen er fuldt oplyst. </w:t>
      </w:r>
    </w:p>
    <w:p w14:paraId="115A0E39" w14:textId="77777777" w:rsidR="00E7224B" w:rsidRDefault="00E7224B" w:rsidP="00E7224B">
      <w:pPr>
        <w:ind w:right="-1759"/>
        <w:jc w:val="both"/>
        <w:rPr>
          <w:color w:val="000000"/>
        </w:rPr>
      </w:pPr>
    </w:p>
    <w:p w14:paraId="46E05109" w14:textId="61BD03B4" w:rsidR="00E7224B" w:rsidRDefault="00E7224B" w:rsidP="00E7224B">
      <w:pPr>
        <w:ind w:right="-1759"/>
        <w:jc w:val="both"/>
      </w:pPr>
      <w:r>
        <w:rPr>
          <w:color w:val="000000"/>
        </w:rPr>
        <w:t xml:space="preserve">Beslutning om at fravige </w:t>
      </w:r>
      <w:r w:rsidRPr="00E23013">
        <w:rPr>
          <w:color w:val="000000"/>
        </w:rPr>
        <w:t>skal meddeles ministeren</w:t>
      </w:r>
      <w:r w:rsidR="001B3714">
        <w:rPr>
          <w:color w:val="000000"/>
        </w:rPr>
        <w:t xml:space="preserve"> for Grøn Trepart</w:t>
      </w:r>
      <w:r w:rsidRPr="00E23013">
        <w:rPr>
          <w:color w:val="000000"/>
        </w:rPr>
        <w:t xml:space="preserve"> med henblik på information af Europa-Kommissionen</w:t>
      </w:r>
      <w:r w:rsidR="00E0632B">
        <w:rPr>
          <w:color w:val="000000"/>
        </w:rPr>
        <w:t>, jf. habitatbekendtgørelsens § 11, stk. 4.</w:t>
      </w:r>
    </w:p>
    <w:p w14:paraId="3119778E" w14:textId="615FDDF4" w:rsidR="009D5BFF" w:rsidRDefault="00191860" w:rsidP="009D5BFF">
      <w:pPr>
        <w:pStyle w:val="Deloverskrift"/>
      </w:pPr>
      <w:r>
        <w:br w:type="page"/>
      </w:r>
      <w:r w:rsidR="009D5BFF" w:rsidRPr="00E4138F">
        <w:lastRenderedPageBreak/>
        <w:t xml:space="preserve">Del </w:t>
      </w:r>
      <w:r w:rsidR="009D5BFF">
        <w:t>C</w:t>
      </w:r>
      <w:r w:rsidR="009D5BFF" w:rsidRPr="00E4138F">
        <w:t xml:space="preserve">. </w:t>
      </w:r>
      <w:r w:rsidR="009D5BFF">
        <w:t>GODT AT HUSKE</w:t>
      </w:r>
    </w:p>
    <w:p w14:paraId="6E65FC4A" w14:textId="77777777" w:rsidR="00D55C51" w:rsidRDefault="00D55C51" w:rsidP="00B95D31">
      <w:pPr>
        <w:pStyle w:val="Billedtekst"/>
      </w:pPr>
    </w:p>
    <w:p w14:paraId="6DC4705C" w14:textId="7F4C041F" w:rsidR="00B95D31" w:rsidRPr="00E4138F" w:rsidRDefault="00D55C51" w:rsidP="00B95D31">
      <w:pPr>
        <w:pStyle w:val="Billedtekst"/>
      </w:pPr>
      <w:r>
        <w:rPr>
          <w:noProof/>
        </w:rPr>
        <mc:AlternateContent>
          <mc:Choice Requires="wps">
            <w:drawing>
              <wp:anchor distT="0" distB="0" distL="114300" distR="114300" simplePos="0" relativeHeight="251659264" behindDoc="0" locked="0" layoutInCell="1" allowOverlap="1" wp14:anchorId="26529029" wp14:editId="1D430A91">
                <wp:simplePos x="0" y="0"/>
                <wp:positionH relativeFrom="margin">
                  <wp:align>left</wp:align>
                </wp:positionH>
                <wp:positionV relativeFrom="paragraph">
                  <wp:posOffset>187567</wp:posOffset>
                </wp:positionV>
                <wp:extent cx="5854263" cy="6605752"/>
                <wp:effectExtent l="0" t="0" r="13335" b="24130"/>
                <wp:wrapNone/>
                <wp:docPr id="5" name="Tekstfelt 5"/>
                <wp:cNvGraphicFramePr/>
                <a:graphic xmlns:a="http://schemas.openxmlformats.org/drawingml/2006/main">
                  <a:graphicData uri="http://schemas.microsoft.com/office/word/2010/wordprocessingShape">
                    <wps:wsp>
                      <wps:cNvSpPr txBox="1"/>
                      <wps:spPr>
                        <a:xfrm>
                          <a:off x="0" y="0"/>
                          <a:ext cx="5854263" cy="6605752"/>
                        </a:xfrm>
                        <a:prstGeom prst="rect">
                          <a:avLst/>
                        </a:prstGeom>
                        <a:solidFill>
                          <a:schemeClr val="lt1"/>
                        </a:solidFill>
                        <a:ln w="6350">
                          <a:solidFill>
                            <a:schemeClr val="accent1"/>
                          </a:solidFill>
                        </a:ln>
                      </wps:spPr>
                      <wps:txbx>
                        <w:txbxContent>
                          <w:p w14:paraId="246F3836" w14:textId="67EC42FD" w:rsidR="00B95D31" w:rsidRPr="00D55C51" w:rsidRDefault="00B95D31" w:rsidP="00DB6F7A">
                            <w:pPr>
                              <w:pStyle w:val="Listeafsnit"/>
                              <w:numPr>
                                <w:ilvl w:val="0"/>
                                <w:numId w:val="28"/>
                              </w:numPr>
                              <w:spacing w:line="230" w:lineRule="atLeast"/>
                              <w:rPr>
                                <w:rFonts w:ascii="Calibri" w:hAnsi="Calibri" w:cs="Calibri"/>
                                <w:sz w:val="18"/>
                                <w:szCs w:val="18"/>
                              </w:rPr>
                            </w:pPr>
                            <w:r w:rsidRPr="00D55C51">
                              <w:rPr>
                                <w:rFonts w:ascii="Calibri" w:hAnsi="Calibri" w:cs="Calibri"/>
                                <w:sz w:val="18"/>
                                <w:szCs w:val="18"/>
                              </w:rPr>
                              <w:t xml:space="preserve">Det er en forudsætning for meddelelse af </w:t>
                            </w:r>
                            <w:r w:rsidR="008C3537">
                              <w:rPr>
                                <w:rFonts w:ascii="Calibri" w:hAnsi="Calibri" w:cs="Calibri"/>
                                <w:sz w:val="18"/>
                                <w:szCs w:val="18"/>
                              </w:rPr>
                              <w:t xml:space="preserve">en </w:t>
                            </w:r>
                            <w:r w:rsidRPr="00D55C51">
                              <w:rPr>
                                <w:rFonts w:ascii="Calibri" w:hAnsi="Calibri" w:cs="Calibri"/>
                                <w:sz w:val="18"/>
                                <w:szCs w:val="18"/>
                              </w:rPr>
                              <w:t xml:space="preserve">tilladelse efter miljøvurderingslovens § 25, at VVM-myndigheden vurderer, at </w:t>
                            </w:r>
                            <w:r w:rsidR="000713DD">
                              <w:rPr>
                                <w:rFonts w:ascii="Calibri" w:hAnsi="Calibri" w:cs="Calibri"/>
                                <w:sz w:val="18"/>
                                <w:szCs w:val="18"/>
                              </w:rPr>
                              <w:t xml:space="preserve">det ansøgte </w:t>
                            </w:r>
                            <w:r w:rsidR="000846D1">
                              <w:rPr>
                                <w:rFonts w:ascii="Calibri" w:hAnsi="Calibri" w:cs="Calibri"/>
                                <w:sz w:val="18"/>
                                <w:szCs w:val="18"/>
                              </w:rPr>
                              <w:t xml:space="preserve">projekt </w:t>
                            </w:r>
                            <w:r w:rsidRPr="00D55C51">
                              <w:rPr>
                                <w:rFonts w:ascii="Calibri" w:hAnsi="Calibri" w:cs="Calibri"/>
                                <w:sz w:val="18"/>
                                <w:szCs w:val="18"/>
                              </w:rPr>
                              <w:t>ikke kan beskadige eller ødelægge bilag IV-arters yngle- eller rasteområder. Hvis en eventuel be</w:t>
                            </w:r>
                            <w:r w:rsidR="00DE55D7">
                              <w:rPr>
                                <w:rFonts w:ascii="Calibri" w:hAnsi="Calibri" w:cs="Calibri"/>
                                <w:sz w:val="18"/>
                                <w:szCs w:val="18"/>
                              </w:rPr>
                              <w:t xml:space="preserve">skadigelse eller ødelæggelse </w:t>
                            </w:r>
                            <w:r w:rsidRPr="00D55C51">
                              <w:rPr>
                                <w:rFonts w:ascii="Calibri" w:hAnsi="Calibri" w:cs="Calibri"/>
                                <w:sz w:val="18"/>
                                <w:szCs w:val="18"/>
                              </w:rPr>
                              <w:t xml:space="preserve">ikke med en </w:t>
                            </w:r>
                            <w:r w:rsidRPr="00D55C51">
                              <w:rPr>
                                <w:rFonts w:ascii="Calibri" w:hAnsi="Calibri" w:cs="Calibri"/>
                                <w:sz w:val="18"/>
                                <w:szCs w:val="18"/>
                                <w:u w:val="single"/>
                              </w:rPr>
                              <w:t>høj grad af sikkerhed</w:t>
                            </w:r>
                            <w:r w:rsidRPr="00D55C51">
                              <w:rPr>
                                <w:rFonts w:ascii="Calibri" w:hAnsi="Calibri" w:cs="Calibri"/>
                                <w:sz w:val="18"/>
                                <w:szCs w:val="18"/>
                              </w:rPr>
                              <w:t xml:space="preserve"> kan udelukkes eller afværges, kan projektet kun tillades efter habitatbekendtgørelsens fravigelsesbestemmelser.</w:t>
                            </w:r>
                          </w:p>
                          <w:p w14:paraId="59CC2DE2" w14:textId="77777777" w:rsidR="00B95D31" w:rsidRPr="00D55C51" w:rsidRDefault="00B95D31" w:rsidP="00DB6F7A">
                            <w:pPr>
                              <w:spacing w:line="230" w:lineRule="atLeast"/>
                              <w:rPr>
                                <w:rFonts w:ascii="Calibri" w:hAnsi="Calibri" w:cs="Calibri"/>
                                <w:sz w:val="18"/>
                                <w:szCs w:val="18"/>
                              </w:rPr>
                            </w:pPr>
                          </w:p>
                          <w:p w14:paraId="09090EC5" w14:textId="6D17D735" w:rsidR="00B95D31" w:rsidRPr="00D55C51" w:rsidRDefault="00B95D31" w:rsidP="00DB6F7A">
                            <w:pPr>
                              <w:pStyle w:val="Listeafsnit"/>
                              <w:numPr>
                                <w:ilvl w:val="0"/>
                                <w:numId w:val="28"/>
                              </w:numPr>
                              <w:spacing w:line="230" w:lineRule="atLeast"/>
                              <w:rPr>
                                <w:rFonts w:ascii="Calibri" w:hAnsi="Calibri" w:cs="Calibri"/>
                                <w:sz w:val="18"/>
                                <w:szCs w:val="18"/>
                              </w:rPr>
                            </w:pPr>
                            <w:r w:rsidRPr="00D55C51">
                              <w:rPr>
                                <w:rFonts w:ascii="Calibri" w:hAnsi="Calibri" w:cs="Calibri"/>
                                <w:sz w:val="18"/>
                                <w:szCs w:val="18"/>
                              </w:rPr>
                              <w:t xml:space="preserve">Habitatbekendtgørelsen foreskriver </w:t>
                            </w:r>
                            <w:r w:rsidRPr="00D55C51">
                              <w:rPr>
                                <w:rFonts w:ascii="Calibri" w:hAnsi="Calibri" w:cs="Calibri"/>
                                <w:sz w:val="18"/>
                                <w:szCs w:val="18"/>
                                <w:u w:val="single"/>
                              </w:rPr>
                              <w:t>en vurdering af</w:t>
                            </w:r>
                            <w:r w:rsidRPr="00D55C51">
                              <w:rPr>
                                <w:rFonts w:ascii="Calibri" w:hAnsi="Calibri" w:cs="Calibri"/>
                                <w:sz w:val="18"/>
                                <w:szCs w:val="18"/>
                              </w:rPr>
                              <w:t xml:space="preserve">, </w:t>
                            </w:r>
                            <w:r w:rsidR="008C3537">
                              <w:rPr>
                                <w:rFonts w:ascii="Calibri" w:hAnsi="Calibri" w:cs="Calibri"/>
                                <w:sz w:val="18"/>
                                <w:szCs w:val="18"/>
                              </w:rPr>
                              <w:t xml:space="preserve">om </w:t>
                            </w:r>
                            <w:r w:rsidR="000846D1">
                              <w:rPr>
                                <w:rFonts w:ascii="Calibri" w:hAnsi="Calibri" w:cs="Calibri"/>
                                <w:sz w:val="18"/>
                                <w:szCs w:val="18"/>
                              </w:rPr>
                              <w:t>det ansøgte</w:t>
                            </w:r>
                            <w:r w:rsidRPr="00D55C51">
                              <w:rPr>
                                <w:rFonts w:ascii="Calibri" w:hAnsi="Calibri" w:cs="Calibri"/>
                                <w:sz w:val="18"/>
                                <w:szCs w:val="18"/>
                              </w:rPr>
                              <w:t xml:space="preserve"> kan beskadige </w:t>
                            </w:r>
                            <w:r w:rsidR="008C3537">
                              <w:rPr>
                                <w:rFonts w:ascii="Calibri" w:hAnsi="Calibri" w:cs="Calibri"/>
                                <w:sz w:val="18"/>
                                <w:szCs w:val="18"/>
                              </w:rPr>
                              <w:t xml:space="preserve">eller ødelægge </w:t>
                            </w:r>
                            <w:r w:rsidRPr="00D55C51">
                              <w:rPr>
                                <w:rFonts w:ascii="Calibri" w:hAnsi="Calibri" w:cs="Calibri"/>
                                <w:sz w:val="18"/>
                                <w:szCs w:val="18"/>
                              </w:rPr>
                              <w:t>bilag IV-arters yngle- eller rasteområder. Det er således ikke tilstrækkeligt blot at konstatere, at bilag IV-arters yngle- eller rasteområder ikke beskadiges eller ødelægges. Vurderingen skal fremgå af afgørelsen.</w:t>
                            </w:r>
                          </w:p>
                          <w:p w14:paraId="3B8862F9" w14:textId="16AB98AE" w:rsidR="00B95D31" w:rsidRPr="00D55C51" w:rsidRDefault="00B95D31" w:rsidP="00DB6F7A">
                            <w:pPr>
                              <w:pStyle w:val="Listeafsnit"/>
                              <w:spacing w:line="230" w:lineRule="atLeast"/>
                              <w:ind w:left="360"/>
                              <w:rPr>
                                <w:rFonts w:ascii="Calibri" w:hAnsi="Calibri" w:cs="Calibri"/>
                                <w:sz w:val="18"/>
                                <w:szCs w:val="18"/>
                              </w:rPr>
                            </w:pPr>
                          </w:p>
                          <w:p w14:paraId="7A49C844" w14:textId="12104215" w:rsidR="00B95D31" w:rsidRPr="00D55C51" w:rsidRDefault="00B95D31" w:rsidP="00DB6F7A">
                            <w:pPr>
                              <w:pStyle w:val="Listeafsnit"/>
                              <w:numPr>
                                <w:ilvl w:val="0"/>
                                <w:numId w:val="28"/>
                              </w:numPr>
                              <w:spacing w:line="230" w:lineRule="atLeast"/>
                              <w:rPr>
                                <w:rFonts w:ascii="Calibri" w:hAnsi="Calibri" w:cs="Calibri"/>
                                <w:sz w:val="18"/>
                                <w:szCs w:val="18"/>
                              </w:rPr>
                            </w:pPr>
                            <w:r w:rsidRPr="00D55C51">
                              <w:rPr>
                                <w:rFonts w:ascii="Calibri" w:hAnsi="Calibri" w:cs="Calibri"/>
                                <w:sz w:val="18"/>
                                <w:szCs w:val="18"/>
                              </w:rPr>
                              <w:t xml:space="preserve">Det er vigtigt </w:t>
                            </w:r>
                            <w:r w:rsidRPr="00D55C51">
                              <w:rPr>
                                <w:rFonts w:ascii="Calibri" w:hAnsi="Calibri" w:cs="Calibri"/>
                                <w:sz w:val="18"/>
                                <w:szCs w:val="18"/>
                                <w:u w:val="single"/>
                              </w:rPr>
                              <w:t>at kende sit projekt</w:t>
                            </w:r>
                            <w:r w:rsidRPr="00D55C51">
                              <w:rPr>
                                <w:rFonts w:ascii="Calibri" w:hAnsi="Calibri" w:cs="Calibri"/>
                                <w:sz w:val="18"/>
                                <w:szCs w:val="18"/>
                              </w:rPr>
                              <w:t xml:space="preserve">, herunder projektets påvirkning på lokaliteten samt den berørte lokalitets funktion og værdi for bilag IV-arter. Jo større usikkerhed i kendskabet til lokaliteten, dens værdi og funktion for bilag IV-arter og arternes konkrete forekomst, jo større usikkerhed i vurderingerne. </w:t>
                            </w:r>
                          </w:p>
                          <w:p w14:paraId="7B94C26C" w14:textId="77777777" w:rsidR="00B95D31" w:rsidRPr="00D55C51" w:rsidRDefault="00B95D31" w:rsidP="00DB6F7A">
                            <w:pPr>
                              <w:pStyle w:val="Listeafsnit"/>
                              <w:spacing w:line="230" w:lineRule="atLeast"/>
                              <w:ind w:left="360"/>
                              <w:rPr>
                                <w:rFonts w:ascii="Calibri" w:hAnsi="Calibri" w:cs="Calibri"/>
                                <w:sz w:val="18"/>
                                <w:szCs w:val="18"/>
                              </w:rPr>
                            </w:pPr>
                          </w:p>
                          <w:p w14:paraId="2EB425A0" w14:textId="3183D931" w:rsidR="00B95D31" w:rsidRPr="00D55C51" w:rsidRDefault="00B95D31" w:rsidP="000846D1">
                            <w:pPr>
                              <w:pStyle w:val="Listeafsnit"/>
                              <w:numPr>
                                <w:ilvl w:val="0"/>
                                <w:numId w:val="28"/>
                              </w:numPr>
                              <w:spacing w:line="230" w:lineRule="atLeast"/>
                              <w:rPr>
                                <w:rFonts w:ascii="Calibri" w:hAnsi="Calibri" w:cs="Calibri"/>
                                <w:sz w:val="18"/>
                                <w:szCs w:val="18"/>
                              </w:rPr>
                            </w:pPr>
                            <w:r w:rsidRPr="00D55C51">
                              <w:rPr>
                                <w:rFonts w:ascii="Calibri" w:hAnsi="Calibri" w:cs="Calibri"/>
                                <w:sz w:val="18"/>
                                <w:szCs w:val="18"/>
                              </w:rPr>
                              <w:t xml:space="preserve">Habitatbekendtgørelsens strenge beskyttelse omfatter </w:t>
                            </w:r>
                            <w:r w:rsidRPr="00D55C51">
                              <w:rPr>
                                <w:rFonts w:ascii="Calibri" w:hAnsi="Calibri" w:cs="Calibri"/>
                                <w:sz w:val="18"/>
                                <w:szCs w:val="18"/>
                                <w:u w:val="single"/>
                              </w:rPr>
                              <w:t>både</w:t>
                            </w:r>
                            <w:r w:rsidRPr="00D55C51">
                              <w:rPr>
                                <w:rFonts w:ascii="Calibri" w:hAnsi="Calibri" w:cs="Calibri"/>
                                <w:sz w:val="18"/>
                                <w:szCs w:val="18"/>
                              </w:rPr>
                              <w:t xml:space="preserve"> bilag IV-arters yngle- </w:t>
                            </w:r>
                            <w:r w:rsidRPr="00D55C51">
                              <w:rPr>
                                <w:rFonts w:ascii="Calibri" w:hAnsi="Calibri" w:cs="Calibri"/>
                                <w:sz w:val="18"/>
                                <w:szCs w:val="18"/>
                                <w:u w:val="single"/>
                              </w:rPr>
                              <w:t>og</w:t>
                            </w:r>
                            <w:r w:rsidRPr="00D55C51">
                              <w:rPr>
                                <w:rFonts w:ascii="Calibri" w:hAnsi="Calibri" w:cs="Calibri"/>
                                <w:sz w:val="18"/>
                                <w:szCs w:val="18"/>
                              </w:rPr>
                              <w:t xml:space="preserve"> rasteområder. Andre element</w:t>
                            </w:r>
                            <w:r w:rsidR="00B6740E">
                              <w:rPr>
                                <w:rFonts w:ascii="Calibri" w:hAnsi="Calibri" w:cs="Calibri"/>
                                <w:sz w:val="18"/>
                                <w:szCs w:val="18"/>
                              </w:rPr>
                              <w:t xml:space="preserve">er i bilag IV-arters levesteder, f.eks. </w:t>
                            </w:r>
                            <w:r w:rsidR="00B6740E" w:rsidRPr="00B6740E">
                              <w:rPr>
                                <w:rFonts w:ascii="Calibri" w:hAnsi="Calibri" w:cs="Calibri"/>
                                <w:sz w:val="18"/>
                                <w:szCs w:val="18"/>
                              </w:rPr>
                              <w:t>fourageringsområder,</w:t>
                            </w:r>
                            <w:r w:rsidR="000846D1">
                              <w:rPr>
                                <w:rFonts w:ascii="Calibri" w:hAnsi="Calibri" w:cs="Calibri"/>
                                <w:sz w:val="18"/>
                                <w:szCs w:val="18"/>
                              </w:rPr>
                              <w:t xml:space="preserve"> </w:t>
                            </w:r>
                            <w:r w:rsidR="000846D1" w:rsidRPr="000846D1">
                              <w:rPr>
                                <w:rFonts w:ascii="Calibri" w:hAnsi="Calibri" w:cs="Calibri"/>
                                <w:sz w:val="18"/>
                                <w:szCs w:val="18"/>
                              </w:rPr>
                              <w:t>ledelinjer eller vandringsruter</w:t>
                            </w:r>
                            <w:r w:rsidR="000846D1">
                              <w:rPr>
                                <w:rFonts w:ascii="Calibri" w:hAnsi="Calibri" w:cs="Calibri"/>
                                <w:sz w:val="18"/>
                                <w:szCs w:val="18"/>
                              </w:rPr>
                              <w:t xml:space="preserve">, </w:t>
                            </w:r>
                            <w:r w:rsidRPr="00D55C51">
                              <w:rPr>
                                <w:rFonts w:ascii="Calibri" w:hAnsi="Calibri" w:cs="Calibri"/>
                                <w:sz w:val="18"/>
                                <w:szCs w:val="18"/>
                              </w:rPr>
                              <w:t xml:space="preserve">kan efter en konkret vurdering </w:t>
                            </w:r>
                            <w:r w:rsidR="00005E9F">
                              <w:rPr>
                                <w:rFonts w:ascii="Calibri" w:hAnsi="Calibri" w:cs="Calibri"/>
                                <w:sz w:val="18"/>
                                <w:szCs w:val="18"/>
                              </w:rPr>
                              <w:t>være</w:t>
                            </w:r>
                            <w:r w:rsidRPr="00D55C51">
                              <w:rPr>
                                <w:rFonts w:ascii="Calibri" w:hAnsi="Calibri" w:cs="Calibri"/>
                                <w:sz w:val="18"/>
                                <w:szCs w:val="18"/>
                              </w:rPr>
                              <w:t xml:space="preserve"> omfattet af </w:t>
                            </w:r>
                            <w:r w:rsidR="00D55C51" w:rsidRPr="00D55C51">
                              <w:rPr>
                                <w:rFonts w:ascii="Calibri" w:hAnsi="Calibri" w:cs="Calibri"/>
                                <w:sz w:val="18"/>
                                <w:szCs w:val="18"/>
                              </w:rPr>
                              <w:t>beskyttelsen.</w:t>
                            </w:r>
                          </w:p>
                          <w:p w14:paraId="6A3E0C77" w14:textId="77777777" w:rsidR="00B95D31" w:rsidRPr="00D55C51" w:rsidRDefault="00B95D31" w:rsidP="00DB6F7A">
                            <w:pPr>
                              <w:spacing w:line="230" w:lineRule="atLeast"/>
                              <w:rPr>
                                <w:rFonts w:ascii="Calibri" w:hAnsi="Calibri" w:cs="Calibri"/>
                                <w:sz w:val="18"/>
                                <w:szCs w:val="18"/>
                              </w:rPr>
                            </w:pPr>
                          </w:p>
                          <w:p w14:paraId="00C7F461" w14:textId="63BC5EEF" w:rsidR="00D55C51" w:rsidRPr="00D55C51" w:rsidRDefault="00D55C51" w:rsidP="00DB6F7A">
                            <w:pPr>
                              <w:pStyle w:val="Listeafsnit"/>
                              <w:numPr>
                                <w:ilvl w:val="0"/>
                                <w:numId w:val="28"/>
                              </w:numPr>
                              <w:spacing w:line="230" w:lineRule="atLeast"/>
                              <w:rPr>
                                <w:rFonts w:ascii="Calibri" w:hAnsi="Calibri" w:cs="Calibri"/>
                                <w:sz w:val="18"/>
                                <w:szCs w:val="18"/>
                              </w:rPr>
                            </w:pPr>
                            <w:r w:rsidRPr="00D55C51">
                              <w:rPr>
                                <w:rFonts w:ascii="Calibri" w:hAnsi="Calibri" w:cs="Calibri"/>
                                <w:sz w:val="18"/>
                                <w:szCs w:val="18"/>
                              </w:rPr>
                              <w:t xml:space="preserve">En </w:t>
                            </w:r>
                            <w:r w:rsidRPr="00D55C51">
                              <w:rPr>
                                <w:rFonts w:ascii="Calibri" w:hAnsi="Calibri" w:cs="Calibri"/>
                                <w:sz w:val="18"/>
                                <w:szCs w:val="18"/>
                                <w:u w:val="single"/>
                              </w:rPr>
                              <w:t>manglende registrering</w:t>
                            </w:r>
                            <w:r w:rsidRPr="00D55C51">
                              <w:rPr>
                                <w:rFonts w:ascii="Calibri" w:hAnsi="Calibri" w:cs="Calibri"/>
                                <w:sz w:val="18"/>
                                <w:szCs w:val="18"/>
                              </w:rPr>
                              <w:t xml:space="preserve"> af en bestemt art er ikke ensbetydende med, at arten ikke er til stede på lokaliteten, hvis lokaliteten ellers opfylder de krav, arten stiller til et levested</w:t>
                            </w:r>
                            <w:r w:rsidR="00FD6437">
                              <w:rPr>
                                <w:rFonts w:ascii="Calibri" w:hAnsi="Calibri" w:cs="Calibri"/>
                                <w:sz w:val="18"/>
                                <w:szCs w:val="18"/>
                              </w:rPr>
                              <w:t xml:space="preserve">, </w:t>
                            </w:r>
                            <w:r w:rsidR="00B47FD6">
                              <w:rPr>
                                <w:rFonts w:ascii="Calibri" w:hAnsi="Calibri" w:cs="Calibri"/>
                                <w:sz w:val="18"/>
                                <w:szCs w:val="18"/>
                              </w:rPr>
                              <w:t xml:space="preserve">og </w:t>
                            </w:r>
                            <w:r w:rsidR="00FD6437">
                              <w:rPr>
                                <w:rFonts w:ascii="Calibri" w:hAnsi="Calibri" w:cs="Calibri"/>
                                <w:sz w:val="18"/>
                                <w:szCs w:val="18"/>
                              </w:rPr>
                              <w:t>ligger inden</w:t>
                            </w:r>
                            <w:r w:rsidR="00191860">
                              <w:rPr>
                                <w:rFonts w:ascii="Calibri" w:hAnsi="Calibri" w:cs="Calibri"/>
                                <w:sz w:val="18"/>
                                <w:szCs w:val="18"/>
                              </w:rPr>
                              <w:t xml:space="preserve"> </w:t>
                            </w:r>
                            <w:r w:rsidR="00B47FD6">
                              <w:rPr>
                                <w:rFonts w:ascii="Calibri" w:hAnsi="Calibri" w:cs="Calibri"/>
                                <w:sz w:val="18"/>
                                <w:szCs w:val="18"/>
                              </w:rPr>
                              <w:t>for artens udbredelsesområde</w:t>
                            </w:r>
                            <w:r w:rsidRPr="00D55C51">
                              <w:rPr>
                                <w:rFonts w:ascii="Calibri" w:hAnsi="Calibri" w:cs="Calibri"/>
                                <w:sz w:val="18"/>
                                <w:szCs w:val="18"/>
                              </w:rPr>
                              <w:t>.</w:t>
                            </w:r>
                          </w:p>
                          <w:p w14:paraId="54FDDD1B" w14:textId="77777777" w:rsidR="00D55C51" w:rsidRPr="00D55C51" w:rsidRDefault="00D55C51" w:rsidP="00DB6F7A">
                            <w:pPr>
                              <w:pStyle w:val="Listeafsnit"/>
                              <w:spacing w:line="230" w:lineRule="atLeast"/>
                              <w:ind w:left="360"/>
                              <w:rPr>
                                <w:rFonts w:ascii="Calibri" w:hAnsi="Calibri" w:cs="Calibri"/>
                                <w:sz w:val="18"/>
                                <w:szCs w:val="18"/>
                              </w:rPr>
                            </w:pPr>
                          </w:p>
                          <w:p w14:paraId="14F3B4D4" w14:textId="208CD843" w:rsidR="00B95D31" w:rsidRPr="00635B0A" w:rsidRDefault="00B95D31" w:rsidP="00635B0A">
                            <w:pPr>
                              <w:pStyle w:val="Listeafsnit"/>
                              <w:numPr>
                                <w:ilvl w:val="0"/>
                                <w:numId w:val="28"/>
                              </w:numPr>
                              <w:spacing w:line="230" w:lineRule="atLeast"/>
                              <w:rPr>
                                <w:rFonts w:ascii="Calibri" w:hAnsi="Calibri" w:cs="Calibri"/>
                                <w:sz w:val="18"/>
                                <w:szCs w:val="18"/>
                              </w:rPr>
                            </w:pPr>
                            <w:r w:rsidRPr="00635B0A">
                              <w:rPr>
                                <w:rFonts w:ascii="Calibri" w:hAnsi="Calibri" w:cs="Calibri"/>
                                <w:sz w:val="18"/>
                                <w:szCs w:val="18"/>
                              </w:rPr>
                              <w:t xml:space="preserve">Ved vurderingen af, om bilag IV-arters yngle- eller rasteområder beskadiges eller ødelægges anvendes </w:t>
                            </w:r>
                            <w:r w:rsidR="00635B0A" w:rsidRPr="00635B0A">
                              <w:rPr>
                                <w:rFonts w:ascii="Calibri" w:hAnsi="Calibri" w:cs="Calibri"/>
                                <w:sz w:val="18"/>
                                <w:szCs w:val="18"/>
                              </w:rPr>
                              <w:t>principp</w:t>
                            </w:r>
                            <w:r w:rsidR="00635B0A" w:rsidRPr="00BC15A1">
                              <w:rPr>
                                <w:rFonts w:ascii="Calibri" w:hAnsi="Calibri" w:cs="Calibri"/>
                                <w:sz w:val="18"/>
                                <w:szCs w:val="18"/>
                              </w:rPr>
                              <w:t>et om økologisk funktionalite</w:t>
                            </w:r>
                            <w:r w:rsidR="00635B0A" w:rsidRPr="005520E2">
                              <w:rPr>
                                <w:rFonts w:ascii="Calibri" w:hAnsi="Calibri" w:cs="Calibri"/>
                                <w:sz w:val="18"/>
                                <w:szCs w:val="18"/>
                              </w:rPr>
                              <w:t>t (</w:t>
                            </w:r>
                            <w:r w:rsidR="00635B0A" w:rsidRPr="00635B0A">
                              <w:rPr>
                                <w:rFonts w:ascii="Calibri" w:hAnsi="Calibri" w:cs="Calibri"/>
                                <w:sz w:val="18"/>
                                <w:szCs w:val="18"/>
                              </w:rPr>
                              <w:t xml:space="preserve">en bred økologisk betragtning) af </w:t>
                            </w:r>
                            <w:r w:rsidRPr="00635B0A">
                              <w:rPr>
                                <w:rFonts w:ascii="Calibri" w:hAnsi="Calibri" w:cs="Calibri"/>
                                <w:sz w:val="18"/>
                                <w:szCs w:val="18"/>
                              </w:rPr>
                              <w:t xml:space="preserve">yngle- og rasteområder. Ved definitionen af disse områder er det altid nødvendigt at tage udgangspunkt i den </w:t>
                            </w:r>
                            <w:r w:rsidRPr="00635B0A">
                              <w:rPr>
                                <w:rFonts w:ascii="Calibri" w:hAnsi="Calibri" w:cs="Calibri"/>
                                <w:sz w:val="18"/>
                                <w:szCs w:val="18"/>
                                <w:u w:val="single"/>
                              </w:rPr>
                              <w:t>konkrete art</w:t>
                            </w:r>
                            <w:r w:rsidRPr="00635B0A">
                              <w:rPr>
                                <w:rFonts w:ascii="Calibri" w:hAnsi="Calibri" w:cs="Calibri"/>
                                <w:sz w:val="18"/>
                                <w:szCs w:val="18"/>
                              </w:rPr>
                              <w:t>, herunder dens økologi og adfærd.</w:t>
                            </w:r>
                          </w:p>
                          <w:p w14:paraId="646CEBC6" w14:textId="77777777" w:rsidR="00B95D31" w:rsidRPr="00D55C51" w:rsidRDefault="00B95D31" w:rsidP="00DB6F7A">
                            <w:pPr>
                              <w:pStyle w:val="Listeafsnit"/>
                              <w:spacing w:line="230" w:lineRule="atLeast"/>
                              <w:ind w:left="360"/>
                              <w:rPr>
                                <w:rFonts w:ascii="Calibri" w:hAnsi="Calibri" w:cs="Calibri"/>
                                <w:sz w:val="18"/>
                                <w:szCs w:val="18"/>
                              </w:rPr>
                            </w:pPr>
                          </w:p>
                          <w:p w14:paraId="5531EE91" w14:textId="69945480" w:rsidR="00B95D31" w:rsidRPr="00D55C51" w:rsidRDefault="00B95D31" w:rsidP="00DB6F7A">
                            <w:pPr>
                              <w:pStyle w:val="Listeafsnit"/>
                              <w:numPr>
                                <w:ilvl w:val="0"/>
                                <w:numId w:val="28"/>
                              </w:numPr>
                              <w:spacing w:line="230" w:lineRule="atLeast"/>
                              <w:rPr>
                                <w:rFonts w:ascii="Calibri" w:hAnsi="Calibri" w:cs="Calibri"/>
                                <w:sz w:val="18"/>
                                <w:szCs w:val="18"/>
                              </w:rPr>
                            </w:pPr>
                            <w:r w:rsidRPr="00D55C51">
                              <w:rPr>
                                <w:rFonts w:ascii="Calibri" w:hAnsi="Calibri" w:cs="Calibri"/>
                                <w:sz w:val="18"/>
                                <w:szCs w:val="18"/>
                              </w:rPr>
                              <w:t>Overholdelse af forbuddet mod at beskadige eller ødelægge bilag IV-arters yngle- og rasteområder forudsætt</w:t>
                            </w:r>
                            <w:r w:rsidR="00B6740E">
                              <w:rPr>
                                <w:rFonts w:ascii="Calibri" w:hAnsi="Calibri" w:cs="Calibri"/>
                                <w:sz w:val="18"/>
                                <w:szCs w:val="18"/>
                              </w:rPr>
                              <w:t>er, at yngle- eller rasteområder</w:t>
                            </w:r>
                            <w:r w:rsidRPr="00D55C51">
                              <w:rPr>
                                <w:rFonts w:ascii="Calibri" w:hAnsi="Calibri" w:cs="Calibri"/>
                                <w:sz w:val="18"/>
                                <w:szCs w:val="18"/>
                              </w:rPr>
                              <w:t>s økologiske funktion</w:t>
                            </w:r>
                            <w:r w:rsidR="00612975">
                              <w:rPr>
                                <w:rFonts w:ascii="Calibri" w:hAnsi="Calibri" w:cs="Calibri"/>
                                <w:sz w:val="18"/>
                                <w:szCs w:val="18"/>
                              </w:rPr>
                              <w:t>alitet</w:t>
                            </w:r>
                            <w:r w:rsidRPr="00D55C51">
                              <w:rPr>
                                <w:rFonts w:ascii="Calibri" w:hAnsi="Calibri" w:cs="Calibri"/>
                                <w:sz w:val="18"/>
                                <w:szCs w:val="18"/>
                              </w:rPr>
                              <w:t xml:space="preserve"> for de berørte arter forbliver </w:t>
                            </w:r>
                            <w:r w:rsidRPr="00D55C51">
                              <w:rPr>
                                <w:rFonts w:ascii="Calibri" w:hAnsi="Calibri" w:cs="Calibri"/>
                                <w:sz w:val="18"/>
                                <w:szCs w:val="18"/>
                                <w:u w:val="single"/>
                              </w:rPr>
                              <w:t>fuldstændig intakt</w:t>
                            </w:r>
                            <w:r w:rsidRPr="00D55C51">
                              <w:rPr>
                                <w:rFonts w:ascii="Calibri" w:hAnsi="Calibri" w:cs="Calibri"/>
                                <w:sz w:val="18"/>
                                <w:szCs w:val="18"/>
                              </w:rPr>
                              <w:t xml:space="preserve">, når </w:t>
                            </w:r>
                            <w:r w:rsidR="00B6740E">
                              <w:rPr>
                                <w:rFonts w:ascii="Calibri" w:hAnsi="Calibri" w:cs="Calibri"/>
                                <w:sz w:val="18"/>
                                <w:szCs w:val="18"/>
                              </w:rPr>
                              <w:t xml:space="preserve">en given </w:t>
                            </w:r>
                            <w:r w:rsidRPr="00D55C51">
                              <w:rPr>
                                <w:rFonts w:ascii="Calibri" w:hAnsi="Calibri" w:cs="Calibri"/>
                                <w:sz w:val="18"/>
                                <w:szCs w:val="18"/>
                              </w:rPr>
                              <w:t xml:space="preserve">aktivitet </w:t>
                            </w:r>
                            <w:r w:rsidR="00B47FD6">
                              <w:rPr>
                                <w:rFonts w:ascii="Calibri" w:hAnsi="Calibri" w:cs="Calibri"/>
                                <w:sz w:val="18"/>
                                <w:szCs w:val="18"/>
                              </w:rPr>
                              <w:t xml:space="preserve">finder sted og når den </w:t>
                            </w:r>
                            <w:r w:rsidRPr="00D55C51">
                              <w:rPr>
                                <w:rFonts w:ascii="Calibri" w:hAnsi="Calibri" w:cs="Calibri"/>
                                <w:sz w:val="18"/>
                                <w:szCs w:val="18"/>
                              </w:rPr>
                              <w:t xml:space="preserve">har fundet sted. </w:t>
                            </w:r>
                            <w:r w:rsidR="00D55C51" w:rsidRPr="00D55C51">
                              <w:rPr>
                                <w:rFonts w:ascii="Calibri" w:hAnsi="Calibri" w:cs="Calibri"/>
                                <w:sz w:val="18"/>
                                <w:szCs w:val="18"/>
                              </w:rPr>
                              <w:t xml:space="preserve">For at opretholde den økologiske funktionalitet ved beskadigelse eller ødelæggelse af dele af bilag IV-arters yngle- eller rasteområder er det således ikke </w:t>
                            </w:r>
                            <w:r w:rsidRPr="00D55C51">
                              <w:rPr>
                                <w:rFonts w:ascii="Calibri" w:hAnsi="Calibri" w:cs="Calibri"/>
                                <w:sz w:val="18"/>
                                <w:szCs w:val="18"/>
                              </w:rPr>
                              <w:t>tilstrækkeligt</w:t>
                            </w:r>
                            <w:r w:rsidR="00D55C51" w:rsidRPr="00D55C51">
                              <w:rPr>
                                <w:rFonts w:ascii="Calibri" w:hAnsi="Calibri" w:cs="Calibri"/>
                                <w:sz w:val="18"/>
                                <w:szCs w:val="18"/>
                              </w:rPr>
                              <w:t xml:space="preserve"> blot at henvise til, at </w:t>
                            </w:r>
                            <w:r w:rsidRPr="00D55C51">
                              <w:rPr>
                                <w:rFonts w:ascii="Calibri" w:hAnsi="Calibri" w:cs="Calibri"/>
                                <w:sz w:val="18"/>
                                <w:szCs w:val="18"/>
                              </w:rPr>
                              <w:t xml:space="preserve">der efter indgrebet fortsat er en stor del af levestedet tilbage. </w:t>
                            </w:r>
                          </w:p>
                          <w:p w14:paraId="779A100E" w14:textId="2306F629" w:rsidR="00B95D31" w:rsidRPr="00D55C51" w:rsidRDefault="00B95D31" w:rsidP="00DB6F7A">
                            <w:pPr>
                              <w:spacing w:line="230" w:lineRule="atLeast"/>
                              <w:rPr>
                                <w:rFonts w:ascii="Calibri" w:hAnsi="Calibri" w:cs="Calibri"/>
                                <w:sz w:val="18"/>
                                <w:szCs w:val="18"/>
                              </w:rPr>
                            </w:pPr>
                          </w:p>
                          <w:p w14:paraId="6C66F20D" w14:textId="792947B3" w:rsidR="00B95D31" w:rsidRPr="00D55C51" w:rsidRDefault="00B95D31" w:rsidP="00DB6F7A">
                            <w:pPr>
                              <w:pStyle w:val="Listeafsnit"/>
                              <w:numPr>
                                <w:ilvl w:val="0"/>
                                <w:numId w:val="28"/>
                              </w:numPr>
                              <w:spacing w:line="230" w:lineRule="atLeast"/>
                              <w:rPr>
                                <w:rFonts w:ascii="Calibri" w:hAnsi="Calibri" w:cs="Calibri"/>
                                <w:sz w:val="18"/>
                                <w:szCs w:val="18"/>
                              </w:rPr>
                            </w:pPr>
                            <w:r w:rsidRPr="00D55C51">
                              <w:rPr>
                                <w:rFonts w:ascii="Calibri" w:hAnsi="Calibri" w:cs="Calibri"/>
                                <w:sz w:val="18"/>
                                <w:szCs w:val="18"/>
                              </w:rPr>
                              <w:t xml:space="preserve">Afværgeforanstaltninger kan i visse tilfælde anvendes til at </w:t>
                            </w:r>
                            <w:r w:rsidR="00B6740E">
                              <w:rPr>
                                <w:rFonts w:ascii="Calibri" w:hAnsi="Calibri" w:cs="Calibri"/>
                                <w:sz w:val="18"/>
                                <w:szCs w:val="18"/>
                              </w:rPr>
                              <w:t xml:space="preserve">afværge skaden på den </w:t>
                            </w:r>
                            <w:r w:rsidRPr="00D55C51">
                              <w:rPr>
                                <w:rFonts w:ascii="Calibri" w:hAnsi="Calibri" w:cs="Calibri"/>
                                <w:sz w:val="18"/>
                                <w:szCs w:val="18"/>
                              </w:rPr>
                              <w:t>økologiske funktionalitet</w:t>
                            </w:r>
                            <w:r w:rsidR="00DB6F7A">
                              <w:rPr>
                                <w:rFonts w:ascii="Calibri" w:hAnsi="Calibri" w:cs="Calibri"/>
                                <w:sz w:val="18"/>
                                <w:szCs w:val="18"/>
                              </w:rPr>
                              <w:t xml:space="preserve"> af yngle- eller rasteområdet</w:t>
                            </w:r>
                            <w:r w:rsidRPr="00D55C51">
                              <w:rPr>
                                <w:rFonts w:ascii="Calibri" w:hAnsi="Calibri" w:cs="Calibri"/>
                                <w:sz w:val="18"/>
                                <w:szCs w:val="18"/>
                              </w:rPr>
                              <w:t xml:space="preserve">. Overholdelse af forbuddet mod at beskadige eller ødelægge bilag IV-arters yngle- og rasteområder forudsætter, at </w:t>
                            </w:r>
                            <w:r w:rsidR="00D55C51" w:rsidRPr="00D55C51">
                              <w:rPr>
                                <w:rFonts w:ascii="Calibri" w:hAnsi="Calibri" w:cs="Calibri"/>
                                <w:sz w:val="18"/>
                                <w:szCs w:val="18"/>
                              </w:rPr>
                              <w:t>sådanne foranstaltninger</w:t>
                            </w:r>
                            <w:r w:rsidRPr="00D55C51">
                              <w:rPr>
                                <w:rFonts w:ascii="Calibri" w:hAnsi="Calibri" w:cs="Calibri"/>
                                <w:sz w:val="18"/>
                                <w:szCs w:val="18"/>
                              </w:rPr>
                              <w:t xml:space="preserve"> garanterer </w:t>
                            </w:r>
                            <w:r w:rsidRPr="00D55C51">
                              <w:rPr>
                                <w:rFonts w:ascii="Calibri" w:hAnsi="Calibri" w:cs="Calibri"/>
                                <w:sz w:val="18"/>
                                <w:szCs w:val="18"/>
                                <w:u w:val="single"/>
                              </w:rPr>
                              <w:t xml:space="preserve">en høj grad af sikkerhed </w:t>
                            </w:r>
                            <w:r w:rsidRPr="00D55C51">
                              <w:rPr>
                                <w:rFonts w:ascii="Calibri" w:hAnsi="Calibri" w:cs="Calibri"/>
                                <w:sz w:val="18"/>
                                <w:szCs w:val="18"/>
                              </w:rPr>
                              <w:t>for, at de er tilstrækkelige til at sikre</w:t>
                            </w:r>
                            <w:r w:rsidR="00DB6F7A">
                              <w:rPr>
                                <w:rFonts w:ascii="Calibri" w:hAnsi="Calibri" w:cs="Calibri"/>
                                <w:sz w:val="18"/>
                                <w:szCs w:val="18"/>
                              </w:rPr>
                              <w:t xml:space="preserve">, </w:t>
                            </w:r>
                            <w:r w:rsidRPr="00D55C51">
                              <w:rPr>
                                <w:rFonts w:ascii="Calibri" w:hAnsi="Calibri" w:cs="Calibri"/>
                                <w:sz w:val="18"/>
                                <w:szCs w:val="18"/>
                              </w:rPr>
                              <w:t xml:space="preserve">at </w:t>
                            </w:r>
                            <w:r w:rsidR="00DB6F7A">
                              <w:rPr>
                                <w:rFonts w:ascii="Calibri" w:hAnsi="Calibri" w:cs="Calibri"/>
                                <w:sz w:val="18"/>
                                <w:szCs w:val="18"/>
                              </w:rPr>
                              <w:t>områdets økologiske funktionalitet</w:t>
                            </w:r>
                            <w:r w:rsidRPr="00D55C51">
                              <w:rPr>
                                <w:rFonts w:ascii="Calibri" w:hAnsi="Calibri" w:cs="Calibri"/>
                                <w:sz w:val="18"/>
                                <w:szCs w:val="18"/>
                              </w:rPr>
                              <w:t xml:space="preserve"> ikke på noget tidspunkt udsæ</w:t>
                            </w:r>
                            <w:r w:rsidR="00DB6F7A">
                              <w:rPr>
                                <w:rFonts w:ascii="Calibri" w:hAnsi="Calibri" w:cs="Calibri"/>
                                <w:sz w:val="18"/>
                                <w:szCs w:val="18"/>
                              </w:rPr>
                              <w:t>ttes for en reduktion eller tab</w:t>
                            </w:r>
                            <w:r w:rsidR="00B47FD6">
                              <w:rPr>
                                <w:rFonts w:ascii="Calibri" w:hAnsi="Calibri" w:cs="Calibri"/>
                                <w:sz w:val="18"/>
                                <w:szCs w:val="18"/>
                              </w:rPr>
                              <w:t xml:space="preserve"> (kvalitativt og kvantitativt)</w:t>
                            </w:r>
                            <w:r w:rsidR="00DB6F7A">
                              <w:rPr>
                                <w:rFonts w:ascii="Calibri" w:hAnsi="Calibri" w:cs="Calibri"/>
                                <w:sz w:val="18"/>
                                <w:szCs w:val="18"/>
                              </w:rPr>
                              <w:t>.</w:t>
                            </w:r>
                          </w:p>
                          <w:p w14:paraId="421BCCEC" w14:textId="77777777" w:rsidR="00D55C51" w:rsidRPr="00D55C51" w:rsidRDefault="00D55C51" w:rsidP="00DB6F7A">
                            <w:pPr>
                              <w:spacing w:line="230" w:lineRule="atLeast"/>
                              <w:rPr>
                                <w:rFonts w:ascii="Calibri" w:hAnsi="Calibri" w:cs="Calibri"/>
                                <w:sz w:val="18"/>
                                <w:szCs w:val="18"/>
                              </w:rPr>
                            </w:pPr>
                          </w:p>
                          <w:p w14:paraId="0458C8D1" w14:textId="1BA51AEC" w:rsidR="00B95D31" w:rsidRDefault="00B95D31" w:rsidP="00DB6F7A">
                            <w:pPr>
                              <w:pStyle w:val="Listeafsnit"/>
                              <w:numPr>
                                <w:ilvl w:val="0"/>
                                <w:numId w:val="28"/>
                              </w:numPr>
                              <w:spacing w:line="230" w:lineRule="atLeast"/>
                              <w:rPr>
                                <w:rFonts w:ascii="Calibri" w:hAnsi="Calibri" w:cs="Calibri"/>
                                <w:sz w:val="18"/>
                                <w:szCs w:val="18"/>
                              </w:rPr>
                            </w:pPr>
                            <w:r w:rsidRPr="00D55C51">
                              <w:rPr>
                                <w:rFonts w:ascii="Calibri" w:hAnsi="Calibri" w:cs="Calibri"/>
                                <w:sz w:val="18"/>
                                <w:szCs w:val="18"/>
                              </w:rPr>
                              <w:t>En fravigelse af beskyttelsen kan anvendes som sidste udvej og forudsætter</w:t>
                            </w:r>
                            <w:r w:rsidR="00D55C51">
                              <w:rPr>
                                <w:rFonts w:ascii="Calibri" w:hAnsi="Calibri" w:cs="Calibri"/>
                                <w:sz w:val="18"/>
                                <w:szCs w:val="18"/>
                              </w:rPr>
                              <w:t xml:space="preserve">, </w:t>
                            </w:r>
                            <w:r w:rsidRPr="00D55C51">
                              <w:rPr>
                                <w:rFonts w:ascii="Calibri" w:hAnsi="Calibri" w:cs="Calibri"/>
                                <w:sz w:val="18"/>
                                <w:szCs w:val="18"/>
                              </w:rPr>
                              <w:t xml:space="preserve">at projektets påvirkning på lokaliteten samt den berørte lokalitets funktion og værdi for bilag IV-arter er </w:t>
                            </w:r>
                            <w:r w:rsidRPr="00D55C51">
                              <w:rPr>
                                <w:rFonts w:ascii="Calibri" w:hAnsi="Calibri" w:cs="Calibri"/>
                                <w:sz w:val="18"/>
                                <w:szCs w:val="18"/>
                                <w:u w:val="single"/>
                              </w:rPr>
                              <w:t>undersøgt og beskrevet</w:t>
                            </w:r>
                            <w:r w:rsidRPr="00D55C51">
                              <w:rPr>
                                <w:rFonts w:ascii="Calibri" w:hAnsi="Calibri" w:cs="Calibri"/>
                                <w:sz w:val="18"/>
                                <w:szCs w:val="18"/>
                              </w:rPr>
                              <w:t>, og de</w:t>
                            </w:r>
                            <w:r w:rsidR="00D55C51">
                              <w:rPr>
                                <w:rFonts w:ascii="Calibri" w:hAnsi="Calibri" w:cs="Calibri"/>
                                <w:sz w:val="18"/>
                                <w:szCs w:val="18"/>
                              </w:rPr>
                              <w:t>t</w:t>
                            </w:r>
                            <w:r w:rsidRPr="00D55C51">
                              <w:rPr>
                                <w:rFonts w:ascii="Calibri" w:hAnsi="Calibri" w:cs="Calibri"/>
                                <w:sz w:val="18"/>
                                <w:szCs w:val="18"/>
                              </w:rPr>
                              <w:t xml:space="preserve"> er vurderet, at den identificerede negative påvirkning ikke kan afværges ved hjælp af afværgeforanstaltninger. En fravigelse forudsætter endvidere, at myndigheden vurderer, at </w:t>
                            </w:r>
                            <w:r w:rsidRPr="00D55C51">
                              <w:rPr>
                                <w:rFonts w:ascii="Calibri" w:hAnsi="Calibri" w:cs="Calibri"/>
                                <w:sz w:val="18"/>
                                <w:szCs w:val="18"/>
                                <w:u w:val="single"/>
                              </w:rPr>
                              <w:t>alle fravigelsesbetingelser</w:t>
                            </w:r>
                            <w:r w:rsidRPr="00D55C51">
                              <w:rPr>
                                <w:rFonts w:ascii="Calibri" w:hAnsi="Calibri" w:cs="Calibri"/>
                                <w:sz w:val="18"/>
                                <w:szCs w:val="18"/>
                              </w:rPr>
                              <w:t xml:space="preserve"> er opfyldt.</w:t>
                            </w:r>
                          </w:p>
                          <w:p w14:paraId="5D142C49" w14:textId="77777777" w:rsidR="00D55C51" w:rsidRPr="00D55C51" w:rsidRDefault="00D55C51" w:rsidP="00DB6F7A">
                            <w:pPr>
                              <w:pStyle w:val="Listeafsnit"/>
                              <w:spacing w:line="230" w:lineRule="atLeast"/>
                              <w:rPr>
                                <w:rFonts w:ascii="Calibri" w:hAnsi="Calibri" w:cs="Calibri"/>
                                <w:sz w:val="18"/>
                                <w:szCs w:val="18"/>
                              </w:rPr>
                            </w:pPr>
                          </w:p>
                          <w:p w14:paraId="1D26A662" w14:textId="688800E5" w:rsidR="00D55C51" w:rsidRPr="00D55C51" w:rsidRDefault="00A728EB" w:rsidP="00DB6F7A">
                            <w:pPr>
                              <w:pStyle w:val="Listeafsnit"/>
                              <w:numPr>
                                <w:ilvl w:val="0"/>
                                <w:numId w:val="28"/>
                              </w:numPr>
                              <w:spacing w:line="230" w:lineRule="atLeast"/>
                              <w:rPr>
                                <w:rFonts w:ascii="Calibri" w:hAnsi="Calibri" w:cs="Calibri"/>
                                <w:sz w:val="18"/>
                                <w:szCs w:val="18"/>
                              </w:rPr>
                            </w:pPr>
                            <w:r>
                              <w:rPr>
                                <w:rFonts w:ascii="Calibri" w:hAnsi="Calibri" w:cs="Calibri"/>
                                <w:sz w:val="18"/>
                                <w:szCs w:val="18"/>
                              </w:rPr>
                              <w:t>I</w:t>
                            </w:r>
                            <w:r w:rsidR="00D55C51" w:rsidRPr="00D55C51">
                              <w:rPr>
                                <w:rFonts w:ascii="Calibri" w:hAnsi="Calibri" w:cs="Calibri"/>
                                <w:sz w:val="18"/>
                                <w:szCs w:val="18"/>
                              </w:rPr>
                              <w:t xml:space="preserve">ndivider af bilag IV-arter er tillige beskyttet mod </w:t>
                            </w:r>
                            <w:r w:rsidR="00D55C51" w:rsidRPr="00D55C51">
                              <w:rPr>
                                <w:rFonts w:ascii="Calibri" w:hAnsi="Calibri" w:cs="Calibri"/>
                                <w:sz w:val="18"/>
                                <w:szCs w:val="18"/>
                                <w:u w:val="single"/>
                              </w:rPr>
                              <w:t>forsætlig indfangning og drab</w:t>
                            </w:r>
                            <w:r w:rsidR="00D55C51" w:rsidRPr="00D55C51">
                              <w:rPr>
                                <w:rFonts w:ascii="Calibri" w:hAnsi="Calibri" w:cs="Calibri"/>
                                <w:sz w:val="18"/>
                                <w:szCs w:val="18"/>
                              </w:rPr>
                              <w:t xml:space="preserve">, </w:t>
                            </w:r>
                            <w:r w:rsidR="00D55C51" w:rsidRPr="00D55C51">
                              <w:rPr>
                                <w:rFonts w:ascii="Calibri" w:hAnsi="Calibri" w:cs="Calibri"/>
                                <w:sz w:val="18"/>
                                <w:szCs w:val="18"/>
                                <w:u w:val="single"/>
                              </w:rPr>
                              <w:t>forsætlig forstyrrelse</w:t>
                            </w:r>
                            <w:r w:rsidR="00D55C51" w:rsidRPr="00D55C51">
                              <w:rPr>
                                <w:rFonts w:ascii="Calibri" w:hAnsi="Calibri" w:cs="Calibri"/>
                                <w:sz w:val="18"/>
                                <w:szCs w:val="18"/>
                              </w:rPr>
                              <w:t xml:space="preserve"> samt forsætlig </w:t>
                            </w:r>
                            <w:r w:rsidR="00D55C51" w:rsidRPr="00D55C51">
                              <w:rPr>
                                <w:rFonts w:ascii="Calibri" w:hAnsi="Calibri" w:cs="Calibri"/>
                                <w:sz w:val="18"/>
                                <w:szCs w:val="18"/>
                                <w:u w:val="single"/>
                              </w:rPr>
                              <w:t>ødelæggelse eller indsamling af æg</w:t>
                            </w:r>
                            <w:r w:rsidR="00D55C51" w:rsidRPr="00D55C51">
                              <w:rPr>
                                <w:rFonts w:ascii="Calibri" w:hAnsi="Calibri" w:cs="Calibri"/>
                                <w:sz w:val="18"/>
                                <w:szCs w:val="18"/>
                              </w:rPr>
                              <w:t xml:space="preserve"> i naturen. Det skal fremgå af miljøkonsekvensrapporten for et projekt, som kan skade bilag IV-arter, om projektet faktisk vil kunne gennemføres under overholdelse af disse forbud.</w:t>
                            </w:r>
                          </w:p>
                          <w:p w14:paraId="0637C731" w14:textId="77777777" w:rsidR="00D55C51" w:rsidRPr="00D55C51" w:rsidRDefault="00D55C51" w:rsidP="00DB6F7A">
                            <w:pPr>
                              <w:pStyle w:val="Listeafsnit"/>
                              <w:spacing w:line="230" w:lineRule="atLeast"/>
                              <w:ind w:left="360"/>
                              <w:rPr>
                                <w:rFonts w:ascii="Calibri" w:hAnsi="Calibri" w:cs="Calibr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29029" id="_x0000_t202" coordsize="21600,21600" o:spt="202" path="m,l,21600r21600,l21600,xe">
                <v:stroke joinstyle="miter"/>
                <v:path gradientshapeok="t" o:connecttype="rect"/>
              </v:shapetype>
              <v:shape id="Tekstfelt 5" o:spid="_x0000_s1026" type="#_x0000_t202" style="position:absolute;margin-left:0;margin-top:14.75pt;width:460.95pt;height:520.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AIdTgIAAKcEAAAOAAAAZHJzL2Uyb0RvYy54bWysVE1v2zAMvQ/YfxB0X5ykcdoGdYosRYYB&#10;QVsgHXpWZKkxJouaxMTOfv0oOR9t19Owi0KK9BP5+Jib27Y2bKd8qMAWfNDrc6ashLKyLwX/8bT4&#10;csVZQGFLYcCqgu9V4LfTz59uGjdRQ9iAKZVnBGLDpHEF3yC6SZYFuVG1CD1wylJQg68FkutfstKL&#10;htBrkw37/XHWgC+dB6lCoNu7LsinCV9rJfFB66CQmYJTbZhOn851PLPpjZi8eOE2lTyUIf6hilpU&#10;lh49Qd0JFGzrq7+g6kp6CKCxJ6HOQOtKqtQDdTPov+tmtRFOpV6InOBONIX/Byvvd4+eVWXBc86s&#10;qGlET+pnQK0MsjzS07gwoayVozxsv0JLYz7eB7qMXbfa1/GX+mEUJ6L3J3JVi0zSZX6Vj4bjC84k&#10;xcbjfn6ZDyNOdv7c+YDfFNQsGgX3NL1EqtgtA3apx5T4WgBTlYvKmORExai58WwnaNYGU5EE/ibL&#10;WNbQ6xd5PwG/iSXNnRGElMp+hEKYxlLdkZiOgGhhu24PbK2h3BNZHjq1BScXFTW0FAEfhSd5ET+0&#10;MvhAhzZABcHB4mwD/vdH9zGfpk5RzhqSa8HDr63wijPz3ZIergejUdR3ckb55ZAc/zqyfh2x23oO&#10;xNKAltPJZMZ8NEdTe6ifabNm8VUKCSvp7YLj0Zxjt0S0mVLNZimJFO0ELu3KyQgdpxLH9dQ+C+8O&#10;M0WSwz0chS0m70bb5cYvLcy2CLpKc48Ed6weeKdtSMo5bG5ct9d+yjr/v0z/AAAA//8DAFBLAwQU&#10;AAYACAAAACEAp9qrQd4AAAAIAQAADwAAAGRycy9kb3ducmV2LnhtbEyPzU7DMBCE75V4B2uRuLV2&#10;g4iaEKdCVCAhThQOHDexmwT8E9luEnh6lhMcRzOa+abaL9awSYc4eCdhuxHAtGu9Glwn4e31Yb0D&#10;FhM6hcY7LeFLR9jXF6sKS+Vn96KnY+oYlbhYooQ+pbHkPLa9thg3ftSOvJMPFhPJ0HEVcKZya3gm&#10;RM4tDo4Wehz1fa/bz+PZSnj8vj6Jp8k8HzzPZ49TOLx/NFJeXS53t8CSXtJfGH7xCR1qYmr82anI&#10;jAQ6kiRkxQ0wcotsWwBrKCbyYge8rvj/A/UPAAAA//8DAFBLAQItABQABgAIAAAAIQC2gziS/gAA&#10;AOEBAAATAAAAAAAAAAAAAAAAAAAAAABbQ29udGVudF9UeXBlc10ueG1sUEsBAi0AFAAGAAgAAAAh&#10;ADj9If/WAAAAlAEAAAsAAAAAAAAAAAAAAAAALwEAAF9yZWxzLy5yZWxzUEsBAi0AFAAGAAgAAAAh&#10;AAFUAh1OAgAApwQAAA4AAAAAAAAAAAAAAAAALgIAAGRycy9lMm9Eb2MueG1sUEsBAi0AFAAGAAgA&#10;AAAhAKfaq0HeAAAACAEAAA8AAAAAAAAAAAAAAAAAqAQAAGRycy9kb3ducmV2LnhtbFBLBQYAAAAA&#10;BAAEAPMAAACzBQAAAAA=&#10;" fillcolor="white [3201]" strokecolor="#00874b [3204]" strokeweight=".5pt">
                <v:textbox>
                  <w:txbxContent>
                    <w:p w14:paraId="246F3836" w14:textId="67EC42FD" w:rsidR="00B95D31" w:rsidRPr="00D55C51" w:rsidRDefault="00B95D31" w:rsidP="00DB6F7A">
                      <w:pPr>
                        <w:pStyle w:val="Listeafsnit"/>
                        <w:numPr>
                          <w:ilvl w:val="0"/>
                          <w:numId w:val="28"/>
                        </w:numPr>
                        <w:spacing w:line="230" w:lineRule="atLeast"/>
                        <w:rPr>
                          <w:rFonts w:ascii="Calibri" w:hAnsi="Calibri" w:cs="Calibri"/>
                          <w:sz w:val="18"/>
                          <w:szCs w:val="18"/>
                        </w:rPr>
                      </w:pPr>
                      <w:r w:rsidRPr="00D55C51">
                        <w:rPr>
                          <w:rFonts w:ascii="Calibri" w:hAnsi="Calibri" w:cs="Calibri"/>
                          <w:sz w:val="18"/>
                          <w:szCs w:val="18"/>
                        </w:rPr>
                        <w:t xml:space="preserve">Det er en forudsætning for meddelelse af </w:t>
                      </w:r>
                      <w:r w:rsidR="008C3537">
                        <w:rPr>
                          <w:rFonts w:ascii="Calibri" w:hAnsi="Calibri" w:cs="Calibri"/>
                          <w:sz w:val="18"/>
                          <w:szCs w:val="18"/>
                        </w:rPr>
                        <w:t xml:space="preserve">en </w:t>
                      </w:r>
                      <w:r w:rsidRPr="00D55C51">
                        <w:rPr>
                          <w:rFonts w:ascii="Calibri" w:hAnsi="Calibri" w:cs="Calibri"/>
                          <w:sz w:val="18"/>
                          <w:szCs w:val="18"/>
                        </w:rPr>
                        <w:t xml:space="preserve">tilladelse efter miljøvurderingslovens § 25, at VVM-myndigheden vurderer, at </w:t>
                      </w:r>
                      <w:r w:rsidR="000713DD">
                        <w:rPr>
                          <w:rFonts w:ascii="Calibri" w:hAnsi="Calibri" w:cs="Calibri"/>
                          <w:sz w:val="18"/>
                          <w:szCs w:val="18"/>
                        </w:rPr>
                        <w:t xml:space="preserve">det ansøgte </w:t>
                      </w:r>
                      <w:r w:rsidR="000846D1">
                        <w:rPr>
                          <w:rFonts w:ascii="Calibri" w:hAnsi="Calibri" w:cs="Calibri"/>
                          <w:sz w:val="18"/>
                          <w:szCs w:val="18"/>
                        </w:rPr>
                        <w:t xml:space="preserve">projekt </w:t>
                      </w:r>
                      <w:r w:rsidRPr="00D55C51">
                        <w:rPr>
                          <w:rFonts w:ascii="Calibri" w:hAnsi="Calibri" w:cs="Calibri"/>
                          <w:sz w:val="18"/>
                          <w:szCs w:val="18"/>
                        </w:rPr>
                        <w:t>ikke kan beskadige eller ødelægge bilag IV-arters yngle- eller rasteområder. Hvis en eventuel be</w:t>
                      </w:r>
                      <w:r w:rsidR="00DE55D7">
                        <w:rPr>
                          <w:rFonts w:ascii="Calibri" w:hAnsi="Calibri" w:cs="Calibri"/>
                          <w:sz w:val="18"/>
                          <w:szCs w:val="18"/>
                        </w:rPr>
                        <w:t xml:space="preserve">skadigelse eller ødelæggelse </w:t>
                      </w:r>
                      <w:r w:rsidRPr="00D55C51">
                        <w:rPr>
                          <w:rFonts w:ascii="Calibri" w:hAnsi="Calibri" w:cs="Calibri"/>
                          <w:sz w:val="18"/>
                          <w:szCs w:val="18"/>
                        </w:rPr>
                        <w:t xml:space="preserve">ikke med en </w:t>
                      </w:r>
                      <w:r w:rsidRPr="00D55C51">
                        <w:rPr>
                          <w:rFonts w:ascii="Calibri" w:hAnsi="Calibri" w:cs="Calibri"/>
                          <w:sz w:val="18"/>
                          <w:szCs w:val="18"/>
                          <w:u w:val="single"/>
                        </w:rPr>
                        <w:t>høj grad af sikkerhed</w:t>
                      </w:r>
                      <w:r w:rsidRPr="00D55C51">
                        <w:rPr>
                          <w:rFonts w:ascii="Calibri" w:hAnsi="Calibri" w:cs="Calibri"/>
                          <w:sz w:val="18"/>
                          <w:szCs w:val="18"/>
                        </w:rPr>
                        <w:t xml:space="preserve"> kan udelukkes eller afværges, kan projektet kun tillades efter habitatbekendtgørelsens fravigelsesbestemmelser.</w:t>
                      </w:r>
                    </w:p>
                    <w:p w14:paraId="59CC2DE2" w14:textId="77777777" w:rsidR="00B95D31" w:rsidRPr="00D55C51" w:rsidRDefault="00B95D31" w:rsidP="00DB6F7A">
                      <w:pPr>
                        <w:spacing w:line="230" w:lineRule="atLeast"/>
                        <w:rPr>
                          <w:rFonts w:ascii="Calibri" w:hAnsi="Calibri" w:cs="Calibri"/>
                          <w:sz w:val="18"/>
                          <w:szCs w:val="18"/>
                        </w:rPr>
                      </w:pPr>
                    </w:p>
                    <w:p w14:paraId="09090EC5" w14:textId="6D17D735" w:rsidR="00B95D31" w:rsidRPr="00D55C51" w:rsidRDefault="00B95D31" w:rsidP="00DB6F7A">
                      <w:pPr>
                        <w:pStyle w:val="Listeafsnit"/>
                        <w:numPr>
                          <w:ilvl w:val="0"/>
                          <w:numId w:val="28"/>
                        </w:numPr>
                        <w:spacing w:line="230" w:lineRule="atLeast"/>
                        <w:rPr>
                          <w:rFonts w:ascii="Calibri" w:hAnsi="Calibri" w:cs="Calibri"/>
                          <w:sz w:val="18"/>
                          <w:szCs w:val="18"/>
                        </w:rPr>
                      </w:pPr>
                      <w:r w:rsidRPr="00D55C51">
                        <w:rPr>
                          <w:rFonts w:ascii="Calibri" w:hAnsi="Calibri" w:cs="Calibri"/>
                          <w:sz w:val="18"/>
                          <w:szCs w:val="18"/>
                        </w:rPr>
                        <w:t xml:space="preserve">Habitatbekendtgørelsen foreskriver </w:t>
                      </w:r>
                      <w:r w:rsidRPr="00D55C51">
                        <w:rPr>
                          <w:rFonts w:ascii="Calibri" w:hAnsi="Calibri" w:cs="Calibri"/>
                          <w:sz w:val="18"/>
                          <w:szCs w:val="18"/>
                          <w:u w:val="single"/>
                        </w:rPr>
                        <w:t>en vurdering af</w:t>
                      </w:r>
                      <w:r w:rsidRPr="00D55C51">
                        <w:rPr>
                          <w:rFonts w:ascii="Calibri" w:hAnsi="Calibri" w:cs="Calibri"/>
                          <w:sz w:val="18"/>
                          <w:szCs w:val="18"/>
                        </w:rPr>
                        <w:t xml:space="preserve">, </w:t>
                      </w:r>
                      <w:r w:rsidR="008C3537">
                        <w:rPr>
                          <w:rFonts w:ascii="Calibri" w:hAnsi="Calibri" w:cs="Calibri"/>
                          <w:sz w:val="18"/>
                          <w:szCs w:val="18"/>
                        </w:rPr>
                        <w:t xml:space="preserve">om </w:t>
                      </w:r>
                      <w:r w:rsidR="000846D1">
                        <w:rPr>
                          <w:rFonts w:ascii="Calibri" w:hAnsi="Calibri" w:cs="Calibri"/>
                          <w:sz w:val="18"/>
                          <w:szCs w:val="18"/>
                        </w:rPr>
                        <w:t>det ansøgte</w:t>
                      </w:r>
                      <w:r w:rsidRPr="00D55C51">
                        <w:rPr>
                          <w:rFonts w:ascii="Calibri" w:hAnsi="Calibri" w:cs="Calibri"/>
                          <w:sz w:val="18"/>
                          <w:szCs w:val="18"/>
                        </w:rPr>
                        <w:t xml:space="preserve"> kan beskadige </w:t>
                      </w:r>
                      <w:r w:rsidR="008C3537">
                        <w:rPr>
                          <w:rFonts w:ascii="Calibri" w:hAnsi="Calibri" w:cs="Calibri"/>
                          <w:sz w:val="18"/>
                          <w:szCs w:val="18"/>
                        </w:rPr>
                        <w:t xml:space="preserve">eller ødelægge </w:t>
                      </w:r>
                      <w:r w:rsidRPr="00D55C51">
                        <w:rPr>
                          <w:rFonts w:ascii="Calibri" w:hAnsi="Calibri" w:cs="Calibri"/>
                          <w:sz w:val="18"/>
                          <w:szCs w:val="18"/>
                        </w:rPr>
                        <w:t>bilag IV-arters yngle- eller rasteområder. Det er således ikke tilstrækkeligt blot at konstatere, at bilag IV-arters yngle- eller rasteområder ikke beskadiges eller ødelægges. Vurderingen skal fremgå af afgørelsen.</w:t>
                      </w:r>
                    </w:p>
                    <w:p w14:paraId="3B8862F9" w14:textId="16AB98AE" w:rsidR="00B95D31" w:rsidRPr="00D55C51" w:rsidRDefault="00B95D31" w:rsidP="00DB6F7A">
                      <w:pPr>
                        <w:pStyle w:val="Listeafsnit"/>
                        <w:spacing w:line="230" w:lineRule="atLeast"/>
                        <w:ind w:left="360"/>
                        <w:rPr>
                          <w:rFonts w:ascii="Calibri" w:hAnsi="Calibri" w:cs="Calibri"/>
                          <w:sz w:val="18"/>
                          <w:szCs w:val="18"/>
                        </w:rPr>
                      </w:pPr>
                    </w:p>
                    <w:p w14:paraId="7A49C844" w14:textId="12104215" w:rsidR="00B95D31" w:rsidRPr="00D55C51" w:rsidRDefault="00B95D31" w:rsidP="00DB6F7A">
                      <w:pPr>
                        <w:pStyle w:val="Listeafsnit"/>
                        <w:numPr>
                          <w:ilvl w:val="0"/>
                          <w:numId w:val="28"/>
                        </w:numPr>
                        <w:spacing w:line="230" w:lineRule="atLeast"/>
                        <w:rPr>
                          <w:rFonts w:ascii="Calibri" w:hAnsi="Calibri" w:cs="Calibri"/>
                          <w:sz w:val="18"/>
                          <w:szCs w:val="18"/>
                        </w:rPr>
                      </w:pPr>
                      <w:r w:rsidRPr="00D55C51">
                        <w:rPr>
                          <w:rFonts w:ascii="Calibri" w:hAnsi="Calibri" w:cs="Calibri"/>
                          <w:sz w:val="18"/>
                          <w:szCs w:val="18"/>
                        </w:rPr>
                        <w:t xml:space="preserve">Det er vigtigt </w:t>
                      </w:r>
                      <w:r w:rsidRPr="00D55C51">
                        <w:rPr>
                          <w:rFonts w:ascii="Calibri" w:hAnsi="Calibri" w:cs="Calibri"/>
                          <w:sz w:val="18"/>
                          <w:szCs w:val="18"/>
                          <w:u w:val="single"/>
                        </w:rPr>
                        <w:t>at kende sit projekt</w:t>
                      </w:r>
                      <w:r w:rsidRPr="00D55C51">
                        <w:rPr>
                          <w:rFonts w:ascii="Calibri" w:hAnsi="Calibri" w:cs="Calibri"/>
                          <w:sz w:val="18"/>
                          <w:szCs w:val="18"/>
                        </w:rPr>
                        <w:t xml:space="preserve">, herunder projektets påvirkning på lokaliteten samt den berørte lokalitets funktion og værdi for bilag IV-arter. Jo større usikkerhed i kendskabet til lokaliteten, dens værdi og funktion for bilag IV-arter og arternes konkrete forekomst, jo større usikkerhed i vurderingerne. </w:t>
                      </w:r>
                    </w:p>
                    <w:p w14:paraId="7B94C26C" w14:textId="77777777" w:rsidR="00B95D31" w:rsidRPr="00D55C51" w:rsidRDefault="00B95D31" w:rsidP="00DB6F7A">
                      <w:pPr>
                        <w:pStyle w:val="Listeafsnit"/>
                        <w:spacing w:line="230" w:lineRule="atLeast"/>
                        <w:ind w:left="360"/>
                        <w:rPr>
                          <w:rFonts w:ascii="Calibri" w:hAnsi="Calibri" w:cs="Calibri"/>
                          <w:sz w:val="18"/>
                          <w:szCs w:val="18"/>
                        </w:rPr>
                      </w:pPr>
                    </w:p>
                    <w:p w14:paraId="2EB425A0" w14:textId="3183D931" w:rsidR="00B95D31" w:rsidRPr="00D55C51" w:rsidRDefault="00B95D31" w:rsidP="000846D1">
                      <w:pPr>
                        <w:pStyle w:val="Listeafsnit"/>
                        <w:numPr>
                          <w:ilvl w:val="0"/>
                          <w:numId w:val="28"/>
                        </w:numPr>
                        <w:spacing w:line="230" w:lineRule="atLeast"/>
                        <w:rPr>
                          <w:rFonts w:ascii="Calibri" w:hAnsi="Calibri" w:cs="Calibri"/>
                          <w:sz w:val="18"/>
                          <w:szCs w:val="18"/>
                        </w:rPr>
                      </w:pPr>
                      <w:r w:rsidRPr="00D55C51">
                        <w:rPr>
                          <w:rFonts w:ascii="Calibri" w:hAnsi="Calibri" w:cs="Calibri"/>
                          <w:sz w:val="18"/>
                          <w:szCs w:val="18"/>
                        </w:rPr>
                        <w:t xml:space="preserve">Habitatbekendtgørelsens strenge beskyttelse omfatter </w:t>
                      </w:r>
                      <w:r w:rsidRPr="00D55C51">
                        <w:rPr>
                          <w:rFonts w:ascii="Calibri" w:hAnsi="Calibri" w:cs="Calibri"/>
                          <w:sz w:val="18"/>
                          <w:szCs w:val="18"/>
                          <w:u w:val="single"/>
                        </w:rPr>
                        <w:t>både</w:t>
                      </w:r>
                      <w:r w:rsidRPr="00D55C51">
                        <w:rPr>
                          <w:rFonts w:ascii="Calibri" w:hAnsi="Calibri" w:cs="Calibri"/>
                          <w:sz w:val="18"/>
                          <w:szCs w:val="18"/>
                        </w:rPr>
                        <w:t xml:space="preserve"> bilag IV-arters yngle- </w:t>
                      </w:r>
                      <w:r w:rsidRPr="00D55C51">
                        <w:rPr>
                          <w:rFonts w:ascii="Calibri" w:hAnsi="Calibri" w:cs="Calibri"/>
                          <w:sz w:val="18"/>
                          <w:szCs w:val="18"/>
                          <w:u w:val="single"/>
                        </w:rPr>
                        <w:t>og</w:t>
                      </w:r>
                      <w:r w:rsidRPr="00D55C51">
                        <w:rPr>
                          <w:rFonts w:ascii="Calibri" w:hAnsi="Calibri" w:cs="Calibri"/>
                          <w:sz w:val="18"/>
                          <w:szCs w:val="18"/>
                        </w:rPr>
                        <w:t xml:space="preserve"> rasteområder. Andre element</w:t>
                      </w:r>
                      <w:r w:rsidR="00B6740E">
                        <w:rPr>
                          <w:rFonts w:ascii="Calibri" w:hAnsi="Calibri" w:cs="Calibri"/>
                          <w:sz w:val="18"/>
                          <w:szCs w:val="18"/>
                        </w:rPr>
                        <w:t xml:space="preserve">er i bilag IV-arters levesteder, f.eks. </w:t>
                      </w:r>
                      <w:r w:rsidR="00B6740E" w:rsidRPr="00B6740E">
                        <w:rPr>
                          <w:rFonts w:ascii="Calibri" w:hAnsi="Calibri" w:cs="Calibri"/>
                          <w:sz w:val="18"/>
                          <w:szCs w:val="18"/>
                        </w:rPr>
                        <w:t>fourageringsområder,</w:t>
                      </w:r>
                      <w:r w:rsidR="000846D1">
                        <w:rPr>
                          <w:rFonts w:ascii="Calibri" w:hAnsi="Calibri" w:cs="Calibri"/>
                          <w:sz w:val="18"/>
                          <w:szCs w:val="18"/>
                        </w:rPr>
                        <w:t xml:space="preserve"> </w:t>
                      </w:r>
                      <w:r w:rsidR="000846D1" w:rsidRPr="000846D1">
                        <w:rPr>
                          <w:rFonts w:ascii="Calibri" w:hAnsi="Calibri" w:cs="Calibri"/>
                          <w:sz w:val="18"/>
                          <w:szCs w:val="18"/>
                        </w:rPr>
                        <w:t>ledelinjer eller vandringsruter</w:t>
                      </w:r>
                      <w:r w:rsidR="000846D1">
                        <w:rPr>
                          <w:rFonts w:ascii="Calibri" w:hAnsi="Calibri" w:cs="Calibri"/>
                          <w:sz w:val="18"/>
                          <w:szCs w:val="18"/>
                        </w:rPr>
                        <w:t xml:space="preserve">, </w:t>
                      </w:r>
                      <w:r w:rsidRPr="00D55C51">
                        <w:rPr>
                          <w:rFonts w:ascii="Calibri" w:hAnsi="Calibri" w:cs="Calibri"/>
                          <w:sz w:val="18"/>
                          <w:szCs w:val="18"/>
                        </w:rPr>
                        <w:t xml:space="preserve">kan efter en konkret vurdering </w:t>
                      </w:r>
                      <w:r w:rsidR="00005E9F">
                        <w:rPr>
                          <w:rFonts w:ascii="Calibri" w:hAnsi="Calibri" w:cs="Calibri"/>
                          <w:sz w:val="18"/>
                          <w:szCs w:val="18"/>
                        </w:rPr>
                        <w:t>være</w:t>
                      </w:r>
                      <w:r w:rsidRPr="00D55C51">
                        <w:rPr>
                          <w:rFonts w:ascii="Calibri" w:hAnsi="Calibri" w:cs="Calibri"/>
                          <w:sz w:val="18"/>
                          <w:szCs w:val="18"/>
                        </w:rPr>
                        <w:t xml:space="preserve"> omfattet af </w:t>
                      </w:r>
                      <w:r w:rsidR="00D55C51" w:rsidRPr="00D55C51">
                        <w:rPr>
                          <w:rFonts w:ascii="Calibri" w:hAnsi="Calibri" w:cs="Calibri"/>
                          <w:sz w:val="18"/>
                          <w:szCs w:val="18"/>
                        </w:rPr>
                        <w:t>beskyttelsen.</w:t>
                      </w:r>
                    </w:p>
                    <w:p w14:paraId="6A3E0C77" w14:textId="77777777" w:rsidR="00B95D31" w:rsidRPr="00D55C51" w:rsidRDefault="00B95D31" w:rsidP="00DB6F7A">
                      <w:pPr>
                        <w:spacing w:line="230" w:lineRule="atLeast"/>
                        <w:rPr>
                          <w:rFonts w:ascii="Calibri" w:hAnsi="Calibri" w:cs="Calibri"/>
                          <w:sz w:val="18"/>
                          <w:szCs w:val="18"/>
                        </w:rPr>
                      </w:pPr>
                    </w:p>
                    <w:p w14:paraId="00C7F461" w14:textId="63BC5EEF" w:rsidR="00D55C51" w:rsidRPr="00D55C51" w:rsidRDefault="00D55C51" w:rsidP="00DB6F7A">
                      <w:pPr>
                        <w:pStyle w:val="Listeafsnit"/>
                        <w:numPr>
                          <w:ilvl w:val="0"/>
                          <w:numId w:val="28"/>
                        </w:numPr>
                        <w:spacing w:line="230" w:lineRule="atLeast"/>
                        <w:rPr>
                          <w:rFonts w:ascii="Calibri" w:hAnsi="Calibri" w:cs="Calibri"/>
                          <w:sz w:val="18"/>
                          <w:szCs w:val="18"/>
                        </w:rPr>
                      </w:pPr>
                      <w:r w:rsidRPr="00D55C51">
                        <w:rPr>
                          <w:rFonts w:ascii="Calibri" w:hAnsi="Calibri" w:cs="Calibri"/>
                          <w:sz w:val="18"/>
                          <w:szCs w:val="18"/>
                        </w:rPr>
                        <w:t xml:space="preserve">En </w:t>
                      </w:r>
                      <w:r w:rsidRPr="00D55C51">
                        <w:rPr>
                          <w:rFonts w:ascii="Calibri" w:hAnsi="Calibri" w:cs="Calibri"/>
                          <w:sz w:val="18"/>
                          <w:szCs w:val="18"/>
                          <w:u w:val="single"/>
                        </w:rPr>
                        <w:t>manglende registrering</w:t>
                      </w:r>
                      <w:r w:rsidRPr="00D55C51">
                        <w:rPr>
                          <w:rFonts w:ascii="Calibri" w:hAnsi="Calibri" w:cs="Calibri"/>
                          <w:sz w:val="18"/>
                          <w:szCs w:val="18"/>
                        </w:rPr>
                        <w:t xml:space="preserve"> af en bestemt art er ikke ensbetydende med, at arten ikke er til stede på lokaliteten, hvis lokaliteten ellers opfylder de krav, arten stiller til et levested</w:t>
                      </w:r>
                      <w:r w:rsidR="00FD6437">
                        <w:rPr>
                          <w:rFonts w:ascii="Calibri" w:hAnsi="Calibri" w:cs="Calibri"/>
                          <w:sz w:val="18"/>
                          <w:szCs w:val="18"/>
                        </w:rPr>
                        <w:t xml:space="preserve">, </w:t>
                      </w:r>
                      <w:r w:rsidR="00B47FD6">
                        <w:rPr>
                          <w:rFonts w:ascii="Calibri" w:hAnsi="Calibri" w:cs="Calibri"/>
                          <w:sz w:val="18"/>
                          <w:szCs w:val="18"/>
                        </w:rPr>
                        <w:t xml:space="preserve">og </w:t>
                      </w:r>
                      <w:r w:rsidR="00FD6437">
                        <w:rPr>
                          <w:rFonts w:ascii="Calibri" w:hAnsi="Calibri" w:cs="Calibri"/>
                          <w:sz w:val="18"/>
                          <w:szCs w:val="18"/>
                        </w:rPr>
                        <w:t>ligger inden</w:t>
                      </w:r>
                      <w:r w:rsidR="00191860">
                        <w:rPr>
                          <w:rFonts w:ascii="Calibri" w:hAnsi="Calibri" w:cs="Calibri"/>
                          <w:sz w:val="18"/>
                          <w:szCs w:val="18"/>
                        </w:rPr>
                        <w:t xml:space="preserve"> </w:t>
                      </w:r>
                      <w:r w:rsidR="00B47FD6">
                        <w:rPr>
                          <w:rFonts w:ascii="Calibri" w:hAnsi="Calibri" w:cs="Calibri"/>
                          <w:sz w:val="18"/>
                          <w:szCs w:val="18"/>
                        </w:rPr>
                        <w:t>for artens udbredelsesområde</w:t>
                      </w:r>
                      <w:r w:rsidRPr="00D55C51">
                        <w:rPr>
                          <w:rFonts w:ascii="Calibri" w:hAnsi="Calibri" w:cs="Calibri"/>
                          <w:sz w:val="18"/>
                          <w:szCs w:val="18"/>
                        </w:rPr>
                        <w:t>.</w:t>
                      </w:r>
                    </w:p>
                    <w:p w14:paraId="54FDDD1B" w14:textId="77777777" w:rsidR="00D55C51" w:rsidRPr="00D55C51" w:rsidRDefault="00D55C51" w:rsidP="00DB6F7A">
                      <w:pPr>
                        <w:pStyle w:val="Listeafsnit"/>
                        <w:spacing w:line="230" w:lineRule="atLeast"/>
                        <w:ind w:left="360"/>
                        <w:rPr>
                          <w:rFonts w:ascii="Calibri" w:hAnsi="Calibri" w:cs="Calibri"/>
                          <w:sz w:val="18"/>
                          <w:szCs w:val="18"/>
                        </w:rPr>
                      </w:pPr>
                    </w:p>
                    <w:p w14:paraId="14F3B4D4" w14:textId="208CD843" w:rsidR="00B95D31" w:rsidRPr="00635B0A" w:rsidRDefault="00B95D31" w:rsidP="00635B0A">
                      <w:pPr>
                        <w:pStyle w:val="Listeafsnit"/>
                        <w:numPr>
                          <w:ilvl w:val="0"/>
                          <w:numId w:val="28"/>
                        </w:numPr>
                        <w:spacing w:line="230" w:lineRule="atLeast"/>
                        <w:rPr>
                          <w:rFonts w:ascii="Calibri" w:hAnsi="Calibri" w:cs="Calibri"/>
                          <w:sz w:val="18"/>
                          <w:szCs w:val="18"/>
                        </w:rPr>
                      </w:pPr>
                      <w:r w:rsidRPr="00635B0A">
                        <w:rPr>
                          <w:rFonts w:ascii="Calibri" w:hAnsi="Calibri" w:cs="Calibri"/>
                          <w:sz w:val="18"/>
                          <w:szCs w:val="18"/>
                        </w:rPr>
                        <w:t xml:space="preserve">Ved vurderingen af, om bilag IV-arters yngle- eller rasteområder beskadiges eller ødelægges anvendes </w:t>
                      </w:r>
                      <w:r w:rsidR="00635B0A" w:rsidRPr="00635B0A">
                        <w:rPr>
                          <w:rFonts w:ascii="Calibri" w:hAnsi="Calibri" w:cs="Calibri"/>
                          <w:sz w:val="18"/>
                          <w:szCs w:val="18"/>
                        </w:rPr>
                        <w:t>principp</w:t>
                      </w:r>
                      <w:r w:rsidR="00635B0A" w:rsidRPr="00BC15A1">
                        <w:rPr>
                          <w:rFonts w:ascii="Calibri" w:hAnsi="Calibri" w:cs="Calibri"/>
                          <w:sz w:val="18"/>
                          <w:szCs w:val="18"/>
                        </w:rPr>
                        <w:t>et om økologisk funktionalite</w:t>
                      </w:r>
                      <w:r w:rsidR="00635B0A" w:rsidRPr="005520E2">
                        <w:rPr>
                          <w:rFonts w:ascii="Calibri" w:hAnsi="Calibri" w:cs="Calibri"/>
                          <w:sz w:val="18"/>
                          <w:szCs w:val="18"/>
                        </w:rPr>
                        <w:t>t (</w:t>
                      </w:r>
                      <w:r w:rsidR="00635B0A" w:rsidRPr="00635B0A">
                        <w:rPr>
                          <w:rFonts w:ascii="Calibri" w:hAnsi="Calibri" w:cs="Calibri"/>
                          <w:sz w:val="18"/>
                          <w:szCs w:val="18"/>
                        </w:rPr>
                        <w:t xml:space="preserve">en bred økologisk betragtning) af </w:t>
                      </w:r>
                      <w:r w:rsidRPr="00635B0A">
                        <w:rPr>
                          <w:rFonts w:ascii="Calibri" w:hAnsi="Calibri" w:cs="Calibri"/>
                          <w:sz w:val="18"/>
                          <w:szCs w:val="18"/>
                        </w:rPr>
                        <w:t xml:space="preserve">yngle- og rasteområder. Ved definitionen af disse områder er det altid nødvendigt at tage udgangspunkt i den </w:t>
                      </w:r>
                      <w:r w:rsidRPr="00635B0A">
                        <w:rPr>
                          <w:rFonts w:ascii="Calibri" w:hAnsi="Calibri" w:cs="Calibri"/>
                          <w:sz w:val="18"/>
                          <w:szCs w:val="18"/>
                          <w:u w:val="single"/>
                        </w:rPr>
                        <w:t>konkrete art</w:t>
                      </w:r>
                      <w:r w:rsidRPr="00635B0A">
                        <w:rPr>
                          <w:rFonts w:ascii="Calibri" w:hAnsi="Calibri" w:cs="Calibri"/>
                          <w:sz w:val="18"/>
                          <w:szCs w:val="18"/>
                        </w:rPr>
                        <w:t>, herunder dens økologi og adfærd.</w:t>
                      </w:r>
                    </w:p>
                    <w:p w14:paraId="646CEBC6" w14:textId="77777777" w:rsidR="00B95D31" w:rsidRPr="00D55C51" w:rsidRDefault="00B95D31" w:rsidP="00DB6F7A">
                      <w:pPr>
                        <w:pStyle w:val="Listeafsnit"/>
                        <w:spacing w:line="230" w:lineRule="atLeast"/>
                        <w:ind w:left="360"/>
                        <w:rPr>
                          <w:rFonts w:ascii="Calibri" w:hAnsi="Calibri" w:cs="Calibri"/>
                          <w:sz w:val="18"/>
                          <w:szCs w:val="18"/>
                        </w:rPr>
                      </w:pPr>
                    </w:p>
                    <w:p w14:paraId="5531EE91" w14:textId="69945480" w:rsidR="00B95D31" w:rsidRPr="00D55C51" w:rsidRDefault="00B95D31" w:rsidP="00DB6F7A">
                      <w:pPr>
                        <w:pStyle w:val="Listeafsnit"/>
                        <w:numPr>
                          <w:ilvl w:val="0"/>
                          <w:numId w:val="28"/>
                        </w:numPr>
                        <w:spacing w:line="230" w:lineRule="atLeast"/>
                        <w:rPr>
                          <w:rFonts w:ascii="Calibri" w:hAnsi="Calibri" w:cs="Calibri"/>
                          <w:sz w:val="18"/>
                          <w:szCs w:val="18"/>
                        </w:rPr>
                      </w:pPr>
                      <w:r w:rsidRPr="00D55C51">
                        <w:rPr>
                          <w:rFonts w:ascii="Calibri" w:hAnsi="Calibri" w:cs="Calibri"/>
                          <w:sz w:val="18"/>
                          <w:szCs w:val="18"/>
                        </w:rPr>
                        <w:t>Overholdelse af forbuddet mod at beskadige eller ødelægge bilag IV-arters yngle- og rasteområder forudsætt</w:t>
                      </w:r>
                      <w:r w:rsidR="00B6740E">
                        <w:rPr>
                          <w:rFonts w:ascii="Calibri" w:hAnsi="Calibri" w:cs="Calibri"/>
                          <w:sz w:val="18"/>
                          <w:szCs w:val="18"/>
                        </w:rPr>
                        <w:t>er, at yngle- eller rasteområder</w:t>
                      </w:r>
                      <w:r w:rsidRPr="00D55C51">
                        <w:rPr>
                          <w:rFonts w:ascii="Calibri" w:hAnsi="Calibri" w:cs="Calibri"/>
                          <w:sz w:val="18"/>
                          <w:szCs w:val="18"/>
                        </w:rPr>
                        <w:t>s økologiske funktion</w:t>
                      </w:r>
                      <w:r w:rsidR="00612975">
                        <w:rPr>
                          <w:rFonts w:ascii="Calibri" w:hAnsi="Calibri" w:cs="Calibri"/>
                          <w:sz w:val="18"/>
                          <w:szCs w:val="18"/>
                        </w:rPr>
                        <w:t>alitet</w:t>
                      </w:r>
                      <w:r w:rsidRPr="00D55C51">
                        <w:rPr>
                          <w:rFonts w:ascii="Calibri" w:hAnsi="Calibri" w:cs="Calibri"/>
                          <w:sz w:val="18"/>
                          <w:szCs w:val="18"/>
                        </w:rPr>
                        <w:t xml:space="preserve"> for de berørte arter forbliver </w:t>
                      </w:r>
                      <w:r w:rsidRPr="00D55C51">
                        <w:rPr>
                          <w:rFonts w:ascii="Calibri" w:hAnsi="Calibri" w:cs="Calibri"/>
                          <w:sz w:val="18"/>
                          <w:szCs w:val="18"/>
                          <w:u w:val="single"/>
                        </w:rPr>
                        <w:t>fuldstændig intakt</w:t>
                      </w:r>
                      <w:r w:rsidRPr="00D55C51">
                        <w:rPr>
                          <w:rFonts w:ascii="Calibri" w:hAnsi="Calibri" w:cs="Calibri"/>
                          <w:sz w:val="18"/>
                          <w:szCs w:val="18"/>
                        </w:rPr>
                        <w:t xml:space="preserve">, når </w:t>
                      </w:r>
                      <w:r w:rsidR="00B6740E">
                        <w:rPr>
                          <w:rFonts w:ascii="Calibri" w:hAnsi="Calibri" w:cs="Calibri"/>
                          <w:sz w:val="18"/>
                          <w:szCs w:val="18"/>
                        </w:rPr>
                        <w:t xml:space="preserve">en given </w:t>
                      </w:r>
                      <w:r w:rsidRPr="00D55C51">
                        <w:rPr>
                          <w:rFonts w:ascii="Calibri" w:hAnsi="Calibri" w:cs="Calibri"/>
                          <w:sz w:val="18"/>
                          <w:szCs w:val="18"/>
                        </w:rPr>
                        <w:t xml:space="preserve">aktivitet </w:t>
                      </w:r>
                      <w:r w:rsidR="00B47FD6">
                        <w:rPr>
                          <w:rFonts w:ascii="Calibri" w:hAnsi="Calibri" w:cs="Calibri"/>
                          <w:sz w:val="18"/>
                          <w:szCs w:val="18"/>
                        </w:rPr>
                        <w:t xml:space="preserve">finder sted og når den </w:t>
                      </w:r>
                      <w:r w:rsidRPr="00D55C51">
                        <w:rPr>
                          <w:rFonts w:ascii="Calibri" w:hAnsi="Calibri" w:cs="Calibri"/>
                          <w:sz w:val="18"/>
                          <w:szCs w:val="18"/>
                        </w:rPr>
                        <w:t xml:space="preserve">har fundet sted. </w:t>
                      </w:r>
                      <w:r w:rsidR="00D55C51" w:rsidRPr="00D55C51">
                        <w:rPr>
                          <w:rFonts w:ascii="Calibri" w:hAnsi="Calibri" w:cs="Calibri"/>
                          <w:sz w:val="18"/>
                          <w:szCs w:val="18"/>
                        </w:rPr>
                        <w:t xml:space="preserve">For at opretholde den økologiske funktionalitet ved beskadigelse eller ødelæggelse af dele af bilag IV-arters yngle- eller rasteområder er det således ikke </w:t>
                      </w:r>
                      <w:r w:rsidRPr="00D55C51">
                        <w:rPr>
                          <w:rFonts w:ascii="Calibri" w:hAnsi="Calibri" w:cs="Calibri"/>
                          <w:sz w:val="18"/>
                          <w:szCs w:val="18"/>
                        </w:rPr>
                        <w:t>tilstrækkeligt</w:t>
                      </w:r>
                      <w:r w:rsidR="00D55C51" w:rsidRPr="00D55C51">
                        <w:rPr>
                          <w:rFonts w:ascii="Calibri" w:hAnsi="Calibri" w:cs="Calibri"/>
                          <w:sz w:val="18"/>
                          <w:szCs w:val="18"/>
                        </w:rPr>
                        <w:t xml:space="preserve"> blot at henvise til, at </w:t>
                      </w:r>
                      <w:r w:rsidRPr="00D55C51">
                        <w:rPr>
                          <w:rFonts w:ascii="Calibri" w:hAnsi="Calibri" w:cs="Calibri"/>
                          <w:sz w:val="18"/>
                          <w:szCs w:val="18"/>
                        </w:rPr>
                        <w:t xml:space="preserve">der efter indgrebet fortsat er en stor del af levestedet tilbage. </w:t>
                      </w:r>
                    </w:p>
                    <w:p w14:paraId="779A100E" w14:textId="2306F629" w:rsidR="00B95D31" w:rsidRPr="00D55C51" w:rsidRDefault="00B95D31" w:rsidP="00DB6F7A">
                      <w:pPr>
                        <w:spacing w:line="230" w:lineRule="atLeast"/>
                        <w:rPr>
                          <w:rFonts w:ascii="Calibri" w:hAnsi="Calibri" w:cs="Calibri"/>
                          <w:sz w:val="18"/>
                          <w:szCs w:val="18"/>
                        </w:rPr>
                      </w:pPr>
                    </w:p>
                    <w:p w14:paraId="6C66F20D" w14:textId="792947B3" w:rsidR="00B95D31" w:rsidRPr="00D55C51" w:rsidRDefault="00B95D31" w:rsidP="00DB6F7A">
                      <w:pPr>
                        <w:pStyle w:val="Listeafsnit"/>
                        <w:numPr>
                          <w:ilvl w:val="0"/>
                          <w:numId w:val="28"/>
                        </w:numPr>
                        <w:spacing w:line="230" w:lineRule="atLeast"/>
                        <w:rPr>
                          <w:rFonts w:ascii="Calibri" w:hAnsi="Calibri" w:cs="Calibri"/>
                          <w:sz w:val="18"/>
                          <w:szCs w:val="18"/>
                        </w:rPr>
                      </w:pPr>
                      <w:r w:rsidRPr="00D55C51">
                        <w:rPr>
                          <w:rFonts w:ascii="Calibri" w:hAnsi="Calibri" w:cs="Calibri"/>
                          <w:sz w:val="18"/>
                          <w:szCs w:val="18"/>
                        </w:rPr>
                        <w:t xml:space="preserve">Afværgeforanstaltninger kan i visse tilfælde anvendes til at </w:t>
                      </w:r>
                      <w:r w:rsidR="00B6740E">
                        <w:rPr>
                          <w:rFonts w:ascii="Calibri" w:hAnsi="Calibri" w:cs="Calibri"/>
                          <w:sz w:val="18"/>
                          <w:szCs w:val="18"/>
                        </w:rPr>
                        <w:t xml:space="preserve">afværge skaden på den </w:t>
                      </w:r>
                      <w:r w:rsidRPr="00D55C51">
                        <w:rPr>
                          <w:rFonts w:ascii="Calibri" w:hAnsi="Calibri" w:cs="Calibri"/>
                          <w:sz w:val="18"/>
                          <w:szCs w:val="18"/>
                        </w:rPr>
                        <w:t>økologiske funktionalitet</w:t>
                      </w:r>
                      <w:r w:rsidR="00DB6F7A">
                        <w:rPr>
                          <w:rFonts w:ascii="Calibri" w:hAnsi="Calibri" w:cs="Calibri"/>
                          <w:sz w:val="18"/>
                          <w:szCs w:val="18"/>
                        </w:rPr>
                        <w:t xml:space="preserve"> af yngle- eller rasteområdet</w:t>
                      </w:r>
                      <w:r w:rsidRPr="00D55C51">
                        <w:rPr>
                          <w:rFonts w:ascii="Calibri" w:hAnsi="Calibri" w:cs="Calibri"/>
                          <w:sz w:val="18"/>
                          <w:szCs w:val="18"/>
                        </w:rPr>
                        <w:t xml:space="preserve">. Overholdelse af forbuddet mod at beskadige eller ødelægge bilag IV-arters yngle- og rasteområder forudsætter, at </w:t>
                      </w:r>
                      <w:r w:rsidR="00D55C51" w:rsidRPr="00D55C51">
                        <w:rPr>
                          <w:rFonts w:ascii="Calibri" w:hAnsi="Calibri" w:cs="Calibri"/>
                          <w:sz w:val="18"/>
                          <w:szCs w:val="18"/>
                        </w:rPr>
                        <w:t>sådanne foranstaltninger</w:t>
                      </w:r>
                      <w:r w:rsidRPr="00D55C51">
                        <w:rPr>
                          <w:rFonts w:ascii="Calibri" w:hAnsi="Calibri" w:cs="Calibri"/>
                          <w:sz w:val="18"/>
                          <w:szCs w:val="18"/>
                        </w:rPr>
                        <w:t xml:space="preserve"> garanterer </w:t>
                      </w:r>
                      <w:r w:rsidRPr="00D55C51">
                        <w:rPr>
                          <w:rFonts w:ascii="Calibri" w:hAnsi="Calibri" w:cs="Calibri"/>
                          <w:sz w:val="18"/>
                          <w:szCs w:val="18"/>
                          <w:u w:val="single"/>
                        </w:rPr>
                        <w:t xml:space="preserve">en høj grad af sikkerhed </w:t>
                      </w:r>
                      <w:r w:rsidRPr="00D55C51">
                        <w:rPr>
                          <w:rFonts w:ascii="Calibri" w:hAnsi="Calibri" w:cs="Calibri"/>
                          <w:sz w:val="18"/>
                          <w:szCs w:val="18"/>
                        </w:rPr>
                        <w:t>for, at de er tilstrækkelige til at sikre</w:t>
                      </w:r>
                      <w:r w:rsidR="00DB6F7A">
                        <w:rPr>
                          <w:rFonts w:ascii="Calibri" w:hAnsi="Calibri" w:cs="Calibri"/>
                          <w:sz w:val="18"/>
                          <w:szCs w:val="18"/>
                        </w:rPr>
                        <w:t xml:space="preserve">, </w:t>
                      </w:r>
                      <w:r w:rsidRPr="00D55C51">
                        <w:rPr>
                          <w:rFonts w:ascii="Calibri" w:hAnsi="Calibri" w:cs="Calibri"/>
                          <w:sz w:val="18"/>
                          <w:szCs w:val="18"/>
                        </w:rPr>
                        <w:t xml:space="preserve">at </w:t>
                      </w:r>
                      <w:r w:rsidR="00DB6F7A">
                        <w:rPr>
                          <w:rFonts w:ascii="Calibri" w:hAnsi="Calibri" w:cs="Calibri"/>
                          <w:sz w:val="18"/>
                          <w:szCs w:val="18"/>
                        </w:rPr>
                        <w:t>områdets økologiske funktionalitet</w:t>
                      </w:r>
                      <w:r w:rsidRPr="00D55C51">
                        <w:rPr>
                          <w:rFonts w:ascii="Calibri" w:hAnsi="Calibri" w:cs="Calibri"/>
                          <w:sz w:val="18"/>
                          <w:szCs w:val="18"/>
                        </w:rPr>
                        <w:t xml:space="preserve"> ikke på noget tidspunkt udsæ</w:t>
                      </w:r>
                      <w:r w:rsidR="00DB6F7A">
                        <w:rPr>
                          <w:rFonts w:ascii="Calibri" w:hAnsi="Calibri" w:cs="Calibri"/>
                          <w:sz w:val="18"/>
                          <w:szCs w:val="18"/>
                        </w:rPr>
                        <w:t>ttes for en reduktion eller tab</w:t>
                      </w:r>
                      <w:r w:rsidR="00B47FD6">
                        <w:rPr>
                          <w:rFonts w:ascii="Calibri" w:hAnsi="Calibri" w:cs="Calibri"/>
                          <w:sz w:val="18"/>
                          <w:szCs w:val="18"/>
                        </w:rPr>
                        <w:t xml:space="preserve"> (kvalitativt og kvantitativt)</w:t>
                      </w:r>
                      <w:r w:rsidR="00DB6F7A">
                        <w:rPr>
                          <w:rFonts w:ascii="Calibri" w:hAnsi="Calibri" w:cs="Calibri"/>
                          <w:sz w:val="18"/>
                          <w:szCs w:val="18"/>
                        </w:rPr>
                        <w:t>.</w:t>
                      </w:r>
                    </w:p>
                    <w:p w14:paraId="421BCCEC" w14:textId="77777777" w:rsidR="00D55C51" w:rsidRPr="00D55C51" w:rsidRDefault="00D55C51" w:rsidP="00DB6F7A">
                      <w:pPr>
                        <w:spacing w:line="230" w:lineRule="atLeast"/>
                        <w:rPr>
                          <w:rFonts w:ascii="Calibri" w:hAnsi="Calibri" w:cs="Calibri"/>
                          <w:sz w:val="18"/>
                          <w:szCs w:val="18"/>
                        </w:rPr>
                      </w:pPr>
                    </w:p>
                    <w:p w14:paraId="0458C8D1" w14:textId="1BA51AEC" w:rsidR="00B95D31" w:rsidRDefault="00B95D31" w:rsidP="00DB6F7A">
                      <w:pPr>
                        <w:pStyle w:val="Listeafsnit"/>
                        <w:numPr>
                          <w:ilvl w:val="0"/>
                          <w:numId w:val="28"/>
                        </w:numPr>
                        <w:spacing w:line="230" w:lineRule="atLeast"/>
                        <w:rPr>
                          <w:rFonts w:ascii="Calibri" w:hAnsi="Calibri" w:cs="Calibri"/>
                          <w:sz w:val="18"/>
                          <w:szCs w:val="18"/>
                        </w:rPr>
                      </w:pPr>
                      <w:r w:rsidRPr="00D55C51">
                        <w:rPr>
                          <w:rFonts w:ascii="Calibri" w:hAnsi="Calibri" w:cs="Calibri"/>
                          <w:sz w:val="18"/>
                          <w:szCs w:val="18"/>
                        </w:rPr>
                        <w:t>En fravigelse af beskyttelsen kan anvendes som sidste udvej og forudsætter</w:t>
                      </w:r>
                      <w:r w:rsidR="00D55C51">
                        <w:rPr>
                          <w:rFonts w:ascii="Calibri" w:hAnsi="Calibri" w:cs="Calibri"/>
                          <w:sz w:val="18"/>
                          <w:szCs w:val="18"/>
                        </w:rPr>
                        <w:t xml:space="preserve">, </w:t>
                      </w:r>
                      <w:r w:rsidRPr="00D55C51">
                        <w:rPr>
                          <w:rFonts w:ascii="Calibri" w:hAnsi="Calibri" w:cs="Calibri"/>
                          <w:sz w:val="18"/>
                          <w:szCs w:val="18"/>
                        </w:rPr>
                        <w:t xml:space="preserve">at projektets påvirkning på lokaliteten samt den berørte lokalitets funktion og værdi for bilag IV-arter er </w:t>
                      </w:r>
                      <w:r w:rsidRPr="00D55C51">
                        <w:rPr>
                          <w:rFonts w:ascii="Calibri" w:hAnsi="Calibri" w:cs="Calibri"/>
                          <w:sz w:val="18"/>
                          <w:szCs w:val="18"/>
                          <w:u w:val="single"/>
                        </w:rPr>
                        <w:t>undersøgt og beskrevet</w:t>
                      </w:r>
                      <w:r w:rsidRPr="00D55C51">
                        <w:rPr>
                          <w:rFonts w:ascii="Calibri" w:hAnsi="Calibri" w:cs="Calibri"/>
                          <w:sz w:val="18"/>
                          <w:szCs w:val="18"/>
                        </w:rPr>
                        <w:t>, og de</w:t>
                      </w:r>
                      <w:r w:rsidR="00D55C51">
                        <w:rPr>
                          <w:rFonts w:ascii="Calibri" w:hAnsi="Calibri" w:cs="Calibri"/>
                          <w:sz w:val="18"/>
                          <w:szCs w:val="18"/>
                        </w:rPr>
                        <w:t>t</w:t>
                      </w:r>
                      <w:r w:rsidRPr="00D55C51">
                        <w:rPr>
                          <w:rFonts w:ascii="Calibri" w:hAnsi="Calibri" w:cs="Calibri"/>
                          <w:sz w:val="18"/>
                          <w:szCs w:val="18"/>
                        </w:rPr>
                        <w:t xml:space="preserve"> er vurderet, at den identificerede negative påvirkning ikke kan afværges ved hjælp af afværgeforanstaltninger. En fravigelse forudsætter endvidere, at myndigheden vurderer, at </w:t>
                      </w:r>
                      <w:r w:rsidRPr="00D55C51">
                        <w:rPr>
                          <w:rFonts w:ascii="Calibri" w:hAnsi="Calibri" w:cs="Calibri"/>
                          <w:sz w:val="18"/>
                          <w:szCs w:val="18"/>
                          <w:u w:val="single"/>
                        </w:rPr>
                        <w:t>alle fravigelsesbetingelser</w:t>
                      </w:r>
                      <w:r w:rsidRPr="00D55C51">
                        <w:rPr>
                          <w:rFonts w:ascii="Calibri" w:hAnsi="Calibri" w:cs="Calibri"/>
                          <w:sz w:val="18"/>
                          <w:szCs w:val="18"/>
                        </w:rPr>
                        <w:t xml:space="preserve"> er opfyldt.</w:t>
                      </w:r>
                    </w:p>
                    <w:p w14:paraId="5D142C49" w14:textId="77777777" w:rsidR="00D55C51" w:rsidRPr="00D55C51" w:rsidRDefault="00D55C51" w:rsidP="00DB6F7A">
                      <w:pPr>
                        <w:pStyle w:val="Listeafsnit"/>
                        <w:spacing w:line="230" w:lineRule="atLeast"/>
                        <w:rPr>
                          <w:rFonts w:ascii="Calibri" w:hAnsi="Calibri" w:cs="Calibri"/>
                          <w:sz w:val="18"/>
                          <w:szCs w:val="18"/>
                        </w:rPr>
                      </w:pPr>
                    </w:p>
                    <w:p w14:paraId="1D26A662" w14:textId="688800E5" w:rsidR="00D55C51" w:rsidRPr="00D55C51" w:rsidRDefault="00A728EB" w:rsidP="00DB6F7A">
                      <w:pPr>
                        <w:pStyle w:val="Listeafsnit"/>
                        <w:numPr>
                          <w:ilvl w:val="0"/>
                          <w:numId w:val="28"/>
                        </w:numPr>
                        <w:spacing w:line="230" w:lineRule="atLeast"/>
                        <w:rPr>
                          <w:rFonts w:ascii="Calibri" w:hAnsi="Calibri" w:cs="Calibri"/>
                          <w:sz w:val="18"/>
                          <w:szCs w:val="18"/>
                        </w:rPr>
                      </w:pPr>
                      <w:r>
                        <w:rPr>
                          <w:rFonts w:ascii="Calibri" w:hAnsi="Calibri" w:cs="Calibri"/>
                          <w:sz w:val="18"/>
                          <w:szCs w:val="18"/>
                        </w:rPr>
                        <w:t>I</w:t>
                      </w:r>
                      <w:r w:rsidR="00D55C51" w:rsidRPr="00D55C51">
                        <w:rPr>
                          <w:rFonts w:ascii="Calibri" w:hAnsi="Calibri" w:cs="Calibri"/>
                          <w:sz w:val="18"/>
                          <w:szCs w:val="18"/>
                        </w:rPr>
                        <w:t xml:space="preserve">ndivider af bilag IV-arter er tillige beskyttet mod </w:t>
                      </w:r>
                      <w:r w:rsidR="00D55C51" w:rsidRPr="00D55C51">
                        <w:rPr>
                          <w:rFonts w:ascii="Calibri" w:hAnsi="Calibri" w:cs="Calibri"/>
                          <w:sz w:val="18"/>
                          <w:szCs w:val="18"/>
                          <w:u w:val="single"/>
                        </w:rPr>
                        <w:t>forsætlig indfangning og drab</w:t>
                      </w:r>
                      <w:r w:rsidR="00D55C51" w:rsidRPr="00D55C51">
                        <w:rPr>
                          <w:rFonts w:ascii="Calibri" w:hAnsi="Calibri" w:cs="Calibri"/>
                          <w:sz w:val="18"/>
                          <w:szCs w:val="18"/>
                        </w:rPr>
                        <w:t xml:space="preserve">, </w:t>
                      </w:r>
                      <w:r w:rsidR="00D55C51" w:rsidRPr="00D55C51">
                        <w:rPr>
                          <w:rFonts w:ascii="Calibri" w:hAnsi="Calibri" w:cs="Calibri"/>
                          <w:sz w:val="18"/>
                          <w:szCs w:val="18"/>
                          <w:u w:val="single"/>
                        </w:rPr>
                        <w:t>forsætlig forstyrrelse</w:t>
                      </w:r>
                      <w:r w:rsidR="00D55C51" w:rsidRPr="00D55C51">
                        <w:rPr>
                          <w:rFonts w:ascii="Calibri" w:hAnsi="Calibri" w:cs="Calibri"/>
                          <w:sz w:val="18"/>
                          <w:szCs w:val="18"/>
                        </w:rPr>
                        <w:t xml:space="preserve"> samt forsætlig </w:t>
                      </w:r>
                      <w:r w:rsidR="00D55C51" w:rsidRPr="00D55C51">
                        <w:rPr>
                          <w:rFonts w:ascii="Calibri" w:hAnsi="Calibri" w:cs="Calibri"/>
                          <w:sz w:val="18"/>
                          <w:szCs w:val="18"/>
                          <w:u w:val="single"/>
                        </w:rPr>
                        <w:t>ødelæggelse eller indsamling af æg</w:t>
                      </w:r>
                      <w:r w:rsidR="00D55C51" w:rsidRPr="00D55C51">
                        <w:rPr>
                          <w:rFonts w:ascii="Calibri" w:hAnsi="Calibri" w:cs="Calibri"/>
                          <w:sz w:val="18"/>
                          <w:szCs w:val="18"/>
                        </w:rPr>
                        <w:t xml:space="preserve"> i naturen. Det skal fremgå af miljøkonsekvensrapporten for et projekt, som kan skade bilag IV-arter, om projektet faktisk vil kunne gennemføres under overholdelse af disse forbud.</w:t>
                      </w:r>
                    </w:p>
                    <w:p w14:paraId="0637C731" w14:textId="77777777" w:rsidR="00D55C51" w:rsidRPr="00D55C51" w:rsidRDefault="00D55C51" w:rsidP="00DB6F7A">
                      <w:pPr>
                        <w:pStyle w:val="Listeafsnit"/>
                        <w:spacing w:line="230" w:lineRule="atLeast"/>
                        <w:ind w:left="360"/>
                        <w:rPr>
                          <w:rFonts w:ascii="Calibri" w:hAnsi="Calibri" w:cs="Calibri"/>
                          <w:sz w:val="18"/>
                          <w:szCs w:val="18"/>
                        </w:rPr>
                      </w:pPr>
                    </w:p>
                  </w:txbxContent>
                </v:textbox>
                <w10:wrap anchorx="margin"/>
              </v:shape>
            </w:pict>
          </mc:Fallback>
        </mc:AlternateContent>
      </w:r>
      <w:r w:rsidR="00B95D31">
        <w:t xml:space="preserve">Tabel </w:t>
      </w:r>
      <w:fldSimple w:instr=" SEQ Tabel \* ARABIC ">
        <w:r w:rsidR="00B95D31">
          <w:rPr>
            <w:noProof/>
          </w:rPr>
          <w:t>1</w:t>
        </w:r>
      </w:fldSimple>
      <w:r w:rsidR="00B95D31">
        <w:t xml:space="preserve"> Råd og tips</w:t>
      </w:r>
    </w:p>
    <w:p w14:paraId="39171815" w14:textId="669BBA6E" w:rsidR="00B95D31" w:rsidRDefault="00B95D31" w:rsidP="00E7224B"/>
    <w:p w14:paraId="7392990C" w14:textId="325CE811" w:rsidR="009D5BFF" w:rsidRDefault="009D5BFF" w:rsidP="00E7224B"/>
    <w:p w14:paraId="313FB44F" w14:textId="04919A62" w:rsidR="009D5BFF" w:rsidRDefault="009D5BFF" w:rsidP="00E7224B"/>
    <w:p w14:paraId="60DC4411" w14:textId="77777777" w:rsidR="009D5BFF" w:rsidRDefault="009D5BFF" w:rsidP="00E7224B"/>
    <w:p w14:paraId="5A330FAF" w14:textId="77777777" w:rsidR="00084CBB" w:rsidRDefault="00084CBB" w:rsidP="00E7224B"/>
    <w:sectPr w:rsidR="00084CBB" w:rsidSect="002A2467">
      <w:headerReference w:type="even" r:id="rId14"/>
      <w:headerReference w:type="default" r:id="rId15"/>
      <w:footerReference w:type="even" r:id="rId16"/>
      <w:footerReference w:type="default" r:id="rId17"/>
      <w:headerReference w:type="first" r:id="rId18"/>
      <w:pgSz w:w="11906" w:h="16838" w:code="9"/>
      <w:pgMar w:top="2041" w:right="3175" w:bottom="1701" w:left="1418" w:header="45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2D2A2" w14:textId="77777777" w:rsidR="00471C83" w:rsidRDefault="00471C83">
      <w:r>
        <w:separator/>
      </w:r>
    </w:p>
  </w:endnote>
  <w:endnote w:type="continuationSeparator" w:id="0">
    <w:p w14:paraId="61520EE8" w14:textId="77777777" w:rsidR="00471C83" w:rsidRDefault="0047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9D3BD" w14:textId="77777777" w:rsidR="00E7224B" w:rsidRDefault="00E7224B"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628CB5C0" w14:textId="77777777" w:rsidR="00E7224B" w:rsidRDefault="00E7224B"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9E5C7" w14:textId="38846D04" w:rsidR="00E7224B" w:rsidRPr="001C6975" w:rsidRDefault="00E7224B" w:rsidP="00BC56EA">
    <w:pPr>
      <w:pStyle w:val="Sidefod"/>
      <w:ind w:right="0"/>
      <w:jc w:val="right"/>
      <w:rPr>
        <w:rStyle w:val="Sidetal"/>
      </w:rPr>
    </w:pPr>
    <w:r w:rsidRPr="001C6975">
      <w:rPr>
        <w:rStyle w:val="Sidetal"/>
      </w:rPr>
      <w:fldChar w:fldCharType="begin"/>
    </w:r>
    <w:r w:rsidRPr="001C6975">
      <w:rPr>
        <w:rStyle w:val="Sidetal"/>
      </w:rPr>
      <w:instrText xml:space="preserve"> PAGE </w:instrText>
    </w:r>
    <w:r w:rsidRPr="001C6975">
      <w:rPr>
        <w:rStyle w:val="Sidetal"/>
      </w:rPr>
      <w:fldChar w:fldCharType="separate"/>
    </w:r>
    <w:r w:rsidR="00963171">
      <w:rPr>
        <w:rStyle w:val="Sidetal"/>
        <w:noProof/>
      </w:rPr>
      <w:t>3</w:t>
    </w:r>
    <w:r w:rsidRPr="001C6975">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BAAFD" w14:textId="77777777" w:rsidR="00BC22E7" w:rsidRDefault="00BC22E7" w:rsidP="00BC22E7">
    <w:pPr>
      <w:pStyle w:val="Template-Address"/>
    </w:pPr>
    <w:r>
      <w:t xml:space="preserve">Styrelsen for Grøn Arealomlægning </w:t>
    </w:r>
  </w:p>
  <w:p w14:paraId="04725181" w14:textId="4F6B9974" w:rsidR="00E7224B" w:rsidRPr="00956D3A" w:rsidRDefault="00BC22E7" w:rsidP="00BC22E7">
    <w:pPr>
      <w:pStyle w:val="Template-Address"/>
    </w:pPr>
    <w:r>
      <w:t xml:space="preserve">og Vandmiljø </w:t>
    </w:r>
    <w:r w:rsidR="00E7224B" w:rsidRPr="00D33F53">
      <w:t xml:space="preserve"> </w:t>
    </w:r>
    <w:r w:rsidR="00E7224B" w:rsidRPr="0000398F">
      <w:t xml:space="preserve">• Tolderlundsvej 5 </w:t>
    </w:r>
    <w:r w:rsidR="00E7224B" w:rsidRPr="0000398F">
      <w:rPr>
        <w:vanish/>
      </w:rPr>
      <w:t xml:space="preserve">•  •  </w:t>
    </w:r>
    <w:r w:rsidR="00E7224B" w:rsidRPr="0000398F">
      <w:t>• 5000 Odense C •</w:t>
    </w:r>
    <w:r w:rsidR="00E7224B">
      <w:t xml:space="preserve"> </w:t>
    </w:r>
  </w:p>
  <w:p w14:paraId="30AD6F7F" w14:textId="77777777" w:rsidR="00E7224B" w:rsidRPr="00A960F3" w:rsidRDefault="00E7224B" w:rsidP="00EE0B94">
    <w:pPr>
      <w:pStyle w:val="Template-Address10000"/>
      <w:rPr>
        <w:lang w:val="en-US"/>
      </w:rPr>
    </w:pPr>
    <w:r w:rsidRPr="00A960F3">
      <w:rPr>
        <w:lang w:val="en-US"/>
      </w:rPr>
      <w:t xml:space="preserve">Tlf. 72 54 40 00 </w:t>
    </w:r>
    <w:r w:rsidRPr="00A960F3">
      <w:rPr>
        <w:vanish/>
        <w:lang w:val="en-US"/>
      </w:rPr>
      <w:t xml:space="preserve">• Fax  </w:t>
    </w:r>
    <w:r w:rsidRPr="00A960F3">
      <w:rPr>
        <w:lang w:val="en-US"/>
      </w:rPr>
      <w:t xml:space="preserve">• CVR 25798376 • EAN 5798000860810 • mst@mst.dk • www.mst.dk </w:t>
    </w:r>
  </w:p>
  <w:p w14:paraId="089B265E" w14:textId="77777777" w:rsidR="00E7224B" w:rsidRPr="00A960F3" w:rsidRDefault="00E7224B" w:rsidP="00EE0137">
    <w:pPr>
      <w:pStyle w:val="Sidefod"/>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3F3E8" w14:textId="77777777" w:rsidR="00467E79" w:rsidRDefault="00467E7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946EE3">
      <w:rPr>
        <w:rStyle w:val="Sidetal"/>
        <w:noProof/>
      </w:rPr>
      <w:t>1</w:t>
    </w:r>
    <w:r>
      <w:rPr>
        <w:rStyle w:val="Sidetal"/>
      </w:rPr>
      <w:fldChar w:fldCharType="end"/>
    </w:r>
  </w:p>
  <w:p w14:paraId="6E80FB12" w14:textId="77777777" w:rsidR="00467E79" w:rsidRDefault="00467E79" w:rsidP="00E94852">
    <w:pPr>
      <w:pStyle w:val="Sidefod"/>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5F87A" w14:textId="12B093B0" w:rsidR="0078690F" w:rsidRPr="001C6975" w:rsidRDefault="0078690F" w:rsidP="00BC56EA">
    <w:pPr>
      <w:pStyle w:val="Sidefod"/>
      <w:ind w:right="0"/>
      <w:jc w:val="right"/>
      <w:rPr>
        <w:rStyle w:val="Sidetal"/>
      </w:rPr>
    </w:pPr>
    <w:r w:rsidRPr="001C6975">
      <w:rPr>
        <w:rStyle w:val="Sidetal"/>
      </w:rPr>
      <w:fldChar w:fldCharType="begin"/>
    </w:r>
    <w:r w:rsidRPr="001C6975">
      <w:rPr>
        <w:rStyle w:val="Sidetal"/>
      </w:rPr>
      <w:instrText xml:space="preserve"> PAGE </w:instrText>
    </w:r>
    <w:r w:rsidRPr="001C6975">
      <w:rPr>
        <w:rStyle w:val="Sidetal"/>
      </w:rPr>
      <w:fldChar w:fldCharType="separate"/>
    </w:r>
    <w:r w:rsidR="00A97ECF">
      <w:rPr>
        <w:rStyle w:val="Sidetal"/>
        <w:noProof/>
      </w:rPr>
      <w:t>12</w:t>
    </w:r>
    <w:r w:rsidRPr="001C6975">
      <w:rPr>
        <w:rStyle w:val="Sidet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F49F4" w14:textId="77777777" w:rsidR="00471C83" w:rsidRDefault="00471C83">
      <w:r>
        <w:separator/>
      </w:r>
    </w:p>
  </w:footnote>
  <w:footnote w:type="continuationSeparator" w:id="0">
    <w:p w14:paraId="24977A16" w14:textId="77777777" w:rsidR="00471C83" w:rsidRDefault="00471C83">
      <w:r>
        <w:continuationSeparator/>
      </w:r>
    </w:p>
  </w:footnote>
  <w:footnote w:id="1">
    <w:p w14:paraId="4DD56352" w14:textId="77777777" w:rsidR="00E7224B" w:rsidRDefault="00E7224B" w:rsidP="00E7224B">
      <w:pPr>
        <w:pStyle w:val="Fodnotetekst"/>
      </w:pPr>
      <w:r>
        <w:rPr>
          <w:rStyle w:val="Fodnotehenvisning"/>
        </w:rPr>
        <w:footnoteRef/>
      </w:r>
      <w:r>
        <w:t xml:space="preserve"> Rådets direktiv 92/43/EØF af 21. maj 1992 om bevaring af naturtyper samt vilde dyr og planter.</w:t>
      </w:r>
    </w:p>
  </w:footnote>
  <w:footnote w:id="2">
    <w:p w14:paraId="42100F81" w14:textId="12AA6041" w:rsidR="008E2FB8" w:rsidRDefault="008E2FB8">
      <w:pPr>
        <w:pStyle w:val="Fodnotetekst"/>
      </w:pPr>
      <w:r>
        <w:rPr>
          <w:rStyle w:val="Fodnotehenvisning"/>
        </w:rPr>
        <w:footnoteRef/>
      </w:r>
      <w:r>
        <w:t xml:space="preserve"> Bekendtgørelse </w:t>
      </w:r>
      <w:r w:rsidRPr="007C1F43">
        <w:t>nr</w:t>
      </w:r>
      <w:r>
        <w:t>.</w:t>
      </w:r>
      <w:r w:rsidRPr="007C1F43">
        <w:t xml:space="preserve"> 1098 af </w:t>
      </w:r>
      <w:r>
        <w:t>21. august 2023</w:t>
      </w:r>
      <w:r w:rsidRPr="007C1F43">
        <w:t xml:space="preserve"> </w:t>
      </w:r>
      <w:r>
        <w:t>o</w:t>
      </w:r>
      <w:r w:rsidRPr="007C1F43">
        <w:t xml:space="preserve">m udpegning og administration af </w:t>
      </w:r>
      <w:r>
        <w:t>i</w:t>
      </w:r>
      <w:r w:rsidRPr="007C1F43">
        <w:t>nternationale naturbeskyttelsesområder samt beskyttelse af visse arter</w:t>
      </w:r>
      <w:r>
        <w:t>.</w:t>
      </w:r>
    </w:p>
  </w:footnote>
  <w:footnote w:id="3">
    <w:p w14:paraId="4B4AD99C" w14:textId="46084A0C" w:rsidR="008E2FB8" w:rsidRDefault="008E2FB8">
      <w:pPr>
        <w:pStyle w:val="Fodnotetekst"/>
      </w:pPr>
      <w:r>
        <w:rPr>
          <w:rStyle w:val="Fodnotehenvisning"/>
        </w:rPr>
        <w:footnoteRef/>
      </w:r>
      <w:r>
        <w:t xml:space="preserve"> L</w:t>
      </w:r>
      <w:r w:rsidRPr="008862EC">
        <w:t>ov om miljøvurdering af planer og programmer og af konkrete projekter</w:t>
      </w:r>
      <w:r>
        <w:t xml:space="preserve">, jf. lovbekendtgørelse nr. </w:t>
      </w:r>
      <w:r w:rsidRPr="008862EC">
        <w:t xml:space="preserve">4 af </w:t>
      </w:r>
      <w:r>
        <w:t>3. januar 2023.</w:t>
      </w:r>
    </w:p>
  </w:footnote>
  <w:footnote w:id="4">
    <w:p w14:paraId="0E50147D" w14:textId="77777777" w:rsidR="00E7224B" w:rsidRDefault="00E7224B" w:rsidP="00E7224B">
      <w:pPr>
        <w:pStyle w:val="Fodnotetekst"/>
      </w:pPr>
      <w:r>
        <w:rPr>
          <w:rStyle w:val="Fodnotehenvisning"/>
        </w:rPr>
        <w:footnoteRef/>
      </w:r>
      <w:r>
        <w:t xml:space="preserve"> Miljøstyrelsens vejledning nr. 48, december 2020, </w:t>
      </w:r>
      <w:hyperlink r:id="rId1" w:history="1">
        <w:r>
          <w:rPr>
            <w:rStyle w:val="Hyperlink"/>
          </w:rPr>
          <w:t>https://mst.dk/media/kqyb2h5i/habitatvejledningen.pdf</w:t>
        </w:r>
      </w:hyperlink>
      <w:r>
        <w:t>.</w:t>
      </w:r>
    </w:p>
  </w:footnote>
  <w:footnote w:id="5">
    <w:p w14:paraId="66F3673F" w14:textId="77777777" w:rsidR="00E7224B" w:rsidRDefault="00E7224B" w:rsidP="00E7224B">
      <w:pPr>
        <w:pStyle w:val="Fodnotetekst"/>
      </w:pPr>
      <w:r>
        <w:rPr>
          <w:rStyle w:val="Fodnotehenvisning"/>
        </w:rPr>
        <w:footnoteRef/>
      </w:r>
      <w:r>
        <w:t xml:space="preserve"> MFKN afgørelse af 10. december 2021, sag jr. nr. </w:t>
      </w:r>
      <w:r w:rsidRPr="000F624A">
        <w:t>21/06969, 21/06968</w:t>
      </w:r>
      <w:r>
        <w:t>.</w:t>
      </w:r>
    </w:p>
  </w:footnote>
  <w:footnote w:id="6">
    <w:p w14:paraId="22CCD81F" w14:textId="77777777" w:rsidR="00E7224B" w:rsidRDefault="00E7224B" w:rsidP="00E7224B">
      <w:pPr>
        <w:pStyle w:val="Fodnotetekst"/>
      </w:pPr>
      <w:r>
        <w:rPr>
          <w:rStyle w:val="Fodnotehenvisning"/>
        </w:rPr>
        <w:footnoteRef/>
      </w:r>
      <w:r>
        <w:t xml:space="preserve"> </w:t>
      </w:r>
      <w:r w:rsidRPr="0010037D">
        <w:t>C-357/20,</w:t>
      </w:r>
      <w:r>
        <w:t xml:space="preserve"> </w:t>
      </w:r>
      <w:r w:rsidRPr="00F5131E">
        <w:rPr>
          <w:i/>
        </w:rPr>
        <w:t>Europæisk hamster II</w:t>
      </w:r>
      <w:r>
        <w:rPr>
          <w:i/>
        </w:rPr>
        <w:t xml:space="preserve">, </w:t>
      </w:r>
      <w:r w:rsidRPr="0010037D">
        <w:t>præmis 52.</w:t>
      </w:r>
    </w:p>
  </w:footnote>
  <w:footnote w:id="7">
    <w:p w14:paraId="73505EF6" w14:textId="230DE0CB" w:rsidR="00493996" w:rsidRDefault="00493996" w:rsidP="00493996">
      <w:pPr>
        <w:pStyle w:val="Fodnotetekst"/>
      </w:pPr>
      <w:r>
        <w:rPr>
          <w:rStyle w:val="Fodnotehenvisning"/>
        </w:rPr>
        <w:footnoteRef/>
      </w:r>
      <w:r>
        <w:t xml:space="preserve"> </w:t>
      </w:r>
      <w:r w:rsidRPr="00A57895">
        <w:t xml:space="preserve">MFKN afgørelse af 16. november 2022, sag jr. nr. 21/10121, MFKN afgørelse af 13. oktober 2023, sag jr. nr. 22/11288, 22/11289, MFKN afgørelse af 5. juli 2024, sag jr. nr. 21/09761; </w:t>
      </w:r>
      <w:r>
        <w:t xml:space="preserve">Meddelelse fra Kommissionen, </w:t>
      </w:r>
      <w:r w:rsidRPr="002F7133">
        <w:t>Vejledning om streng beskyttelse af dyrearter af fællesskabsbetydning i henhold til habitatdirektivet</w:t>
      </w:r>
      <w:r>
        <w:t xml:space="preserve">, 2021/C 496, </w:t>
      </w:r>
      <w:r w:rsidRPr="00A57895">
        <w:t>pkt. 2-69.</w:t>
      </w:r>
    </w:p>
  </w:footnote>
  <w:footnote w:id="8">
    <w:p w14:paraId="1C010DE5" w14:textId="6800B1D2" w:rsidR="00CD036A" w:rsidRDefault="00CD036A">
      <w:pPr>
        <w:pStyle w:val="Fodnotetekst"/>
      </w:pPr>
      <w:r>
        <w:rPr>
          <w:rStyle w:val="Fodnotehenvisning"/>
        </w:rPr>
        <w:footnoteRef/>
      </w:r>
      <w:r>
        <w:t xml:space="preserve"> Miljøvurderingslovens § 20, stk. 4, nr. 2.</w:t>
      </w:r>
    </w:p>
  </w:footnote>
  <w:footnote w:id="9">
    <w:p w14:paraId="436A41A9" w14:textId="23C64EAE" w:rsidR="00832939" w:rsidRDefault="00832939">
      <w:pPr>
        <w:pStyle w:val="Fodnotetekst"/>
      </w:pPr>
      <w:r>
        <w:rPr>
          <w:rStyle w:val="Fodnotehenvisning"/>
        </w:rPr>
        <w:footnoteRef/>
      </w:r>
      <w:r>
        <w:t xml:space="preserve"> Miljøvurderingslovens § 5, nr. 5, litra d).</w:t>
      </w:r>
    </w:p>
  </w:footnote>
  <w:footnote w:id="10">
    <w:p w14:paraId="6BA66C29" w14:textId="258003F3" w:rsidR="00493996" w:rsidRDefault="00493996">
      <w:pPr>
        <w:pStyle w:val="Fodnotetekst"/>
      </w:pPr>
      <w:r>
        <w:rPr>
          <w:rStyle w:val="Fodnotehenvisning"/>
        </w:rPr>
        <w:footnoteRef/>
      </w:r>
      <w:r>
        <w:t xml:space="preserve"> Under udarbejdelse.</w:t>
      </w:r>
    </w:p>
  </w:footnote>
  <w:footnote w:id="11">
    <w:p w14:paraId="5C47E54D" w14:textId="77777777" w:rsidR="00E7224B" w:rsidRDefault="00E7224B" w:rsidP="00E7224B">
      <w:pPr>
        <w:pStyle w:val="Fodnotetekst"/>
      </w:pPr>
      <w:r>
        <w:rPr>
          <w:rStyle w:val="Fodnotehenvisning"/>
        </w:rPr>
        <w:footnoteRef/>
      </w:r>
      <w:r>
        <w:t xml:space="preserve"> C-441/17, </w:t>
      </w:r>
      <w:r w:rsidRPr="006C0ADF">
        <w:rPr>
          <w:i/>
        </w:rPr>
        <w:t>Kommissionen mod Polen</w:t>
      </w:r>
      <w:r w:rsidRPr="0082427A">
        <w:t xml:space="preserve"> (Białowieża-skoven), præmis 237</w:t>
      </w:r>
      <w:r>
        <w:t>, C-</w:t>
      </w:r>
      <w:r w:rsidRPr="006C0ADF">
        <w:t>473/19 og C-74/19</w:t>
      </w:r>
      <w:r>
        <w:t xml:space="preserve">, </w:t>
      </w:r>
      <w:r w:rsidRPr="006C0ADF">
        <w:rPr>
          <w:i/>
        </w:rPr>
        <w:t>Föreningen Skydda Skogen</w:t>
      </w:r>
      <w:r>
        <w:t>, præmis 83.</w:t>
      </w:r>
    </w:p>
  </w:footnote>
  <w:footnote w:id="12">
    <w:p w14:paraId="4D34A7EB" w14:textId="77777777" w:rsidR="00E7224B" w:rsidRDefault="00E7224B" w:rsidP="00E7224B">
      <w:pPr>
        <w:pStyle w:val="Fodnotetekst"/>
      </w:pPr>
      <w:r>
        <w:rPr>
          <w:rStyle w:val="Fodnotehenvisning"/>
        </w:rPr>
        <w:footnoteRef/>
      </w:r>
      <w:r>
        <w:t xml:space="preserve"> C-357/20, </w:t>
      </w:r>
      <w:r w:rsidRPr="00F5131E">
        <w:rPr>
          <w:i/>
        </w:rPr>
        <w:t>Europæisk hamster II</w:t>
      </w:r>
      <w:r>
        <w:t>, præmis 27.</w:t>
      </w:r>
    </w:p>
  </w:footnote>
  <w:footnote w:id="13">
    <w:p w14:paraId="781AC041" w14:textId="77777777" w:rsidR="00E7224B" w:rsidRDefault="00E7224B" w:rsidP="00E7224B">
      <w:pPr>
        <w:pStyle w:val="Fodnotetekst"/>
      </w:pPr>
      <w:r>
        <w:rPr>
          <w:rStyle w:val="Fodnotehenvisning"/>
        </w:rPr>
        <w:footnoteRef/>
      </w:r>
      <w:r>
        <w:t xml:space="preserve"> C-357/20, </w:t>
      </w:r>
      <w:r w:rsidRPr="00F5131E">
        <w:rPr>
          <w:i/>
        </w:rPr>
        <w:t>Europæisk hamster II</w:t>
      </w:r>
      <w:r>
        <w:t xml:space="preserve">, </w:t>
      </w:r>
      <w:r w:rsidRPr="006C0ADF">
        <w:t>præmis 43</w:t>
      </w:r>
      <w:r>
        <w:t>.</w:t>
      </w:r>
    </w:p>
  </w:footnote>
  <w:footnote w:id="14">
    <w:p w14:paraId="354E6E4E" w14:textId="77777777" w:rsidR="002F7133" w:rsidRDefault="002F7133">
      <w:pPr>
        <w:pStyle w:val="Fodnotetekst"/>
      </w:pPr>
      <w:r>
        <w:rPr>
          <w:rStyle w:val="Fodnotehenvisning"/>
        </w:rPr>
        <w:footnoteRef/>
      </w:r>
      <w:r>
        <w:t xml:space="preserve"> </w:t>
      </w:r>
      <w:r w:rsidRPr="002F7133">
        <w:t>Vejledning om streng beskyttelse af dyrearter af fællesskabsbetydning i henhold til habitatdirektivet</w:t>
      </w:r>
      <w:r>
        <w:t xml:space="preserve">, </w:t>
      </w:r>
      <w:r w:rsidRPr="007557CD">
        <w:t>2021/C 496/01</w:t>
      </w:r>
      <w:r>
        <w:t xml:space="preserve">, pkt. 2-56. </w:t>
      </w:r>
      <w:r>
        <w:rPr>
          <w:b/>
          <w:bCs/>
          <w:color w:val="000000"/>
          <w:shd w:val="clear" w:color="auto" w:fill="FFFFFF"/>
        </w:rPr>
        <w:t> </w:t>
      </w:r>
    </w:p>
  </w:footnote>
  <w:footnote w:id="15">
    <w:p w14:paraId="5FE784AC" w14:textId="07C3E210" w:rsidR="00DE05C3" w:rsidRDefault="00DE05C3">
      <w:pPr>
        <w:pStyle w:val="Fodnotetekst"/>
      </w:pPr>
      <w:r>
        <w:rPr>
          <w:rStyle w:val="Fodnotehenvisning"/>
        </w:rPr>
        <w:footnoteRef/>
      </w:r>
      <w:r>
        <w:t xml:space="preserve"> </w:t>
      </w:r>
      <w:r w:rsidR="00FF5A79">
        <w:t xml:space="preserve">F.eks. C-357/20, </w:t>
      </w:r>
      <w:r w:rsidR="00FF5A79" w:rsidRPr="00F5131E">
        <w:rPr>
          <w:i/>
        </w:rPr>
        <w:t>Europæisk hamster II</w:t>
      </w:r>
      <w:r w:rsidR="00FF5A79">
        <w:t>, præmis 33, hvor EU-Domstolen fastslog, at habitatdirektivets artikel 12, stk. 1, l</w:t>
      </w:r>
      <w:r w:rsidR="00A23834">
        <w:t>itra d), skal fortolkes således, at b</w:t>
      </w:r>
      <w:r w:rsidR="00A23834" w:rsidRPr="00A23834">
        <w:t>eskyttelsen af yngleområder for bilag IV-arter også gælder aktiviteter omkring yngleområdet, hvis aktiviteterne medfører, at bilag IV-arter ikke vil besøge yngleområdet længere, og begrebet ”yngleområde” derfor også omfatter områdets omgivelser, når omgivelserne er nødvendige for, at bilag IV-arter kan yngle med succes</w:t>
      </w:r>
      <w:r w:rsidR="00A23834">
        <w:t xml:space="preserve">. Se også </w:t>
      </w:r>
      <w:r w:rsidR="00A23834" w:rsidRPr="002F7133">
        <w:t>Vejledning om streng beskyttelse af dyrearter af fællesskabsbetydning i henhold til habitatdirektivet</w:t>
      </w:r>
      <w:r w:rsidR="00A23834">
        <w:t xml:space="preserve">, </w:t>
      </w:r>
      <w:r w:rsidR="00A23834" w:rsidRPr="007557CD">
        <w:t>2021/C 496/01</w:t>
      </w:r>
      <w:r w:rsidR="00A23834">
        <w:t xml:space="preserve">, pkt. 2-56. Nationalt kan nævnes f.eks. </w:t>
      </w:r>
      <w:r>
        <w:t xml:space="preserve">MFKN afgørelse af </w:t>
      </w:r>
      <w:r w:rsidRPr="00DE05C3">
        <w:t>24. juni 2020</w:t>
      </w:r>
      <w:r>
        <w:t xml:space="preserve">, sag jr. nr. </w:t>
      </w:r>
      <w:r w:rsidRPr="00DE05C3">
        <w:t>18/06079, 18/04890 og 18/04891</w:t>
      </w:r>
      <w:r>
        <w:t xml:space="preserve">, hvor nævnet betragtede som nødvendigt at anse </w:t>
      </w:r>
      <w:r w:rsidRPr="00DE05C3">
        <w:t xml:space="preserve">en </w:t>
      </w:r>
      <w:r w:rsidR="00102017">
        <w:t xml:space="preserve">konkret </w:t>
      </w:r>
      <w:r w:rsidRPr="00DE05C3">
        <w:t>forbindelseskorridor mellem to områder med hasselmus</w:t>
      </w:r>
      <w:r w:rsidR="00102017">
        <w:t xml:space="preserve"> som en del af et samlet </w:t>
      </w:r>
      <w:r w:rsidRPr="00102017">
        <w:t>yngle- og rasteområde.</w:t>
      </w:r>
    </w:p>
  </w:footnote>
  <w:footnote w:id="16">
    <w:p w14:paraId="052668F8" w14:textId="77777777" w:rsidR="00DE05C3" w:rsidRDefault="00DE05C3" w:rsidP="00DE05C3">
      <w:pPr>
        <w:pStyle w:val="Fodnotetekst"/>
      </w:pPr>
      <w:r>
        <w:rPr>
          <w:rStyle w:val="Fodnotehenvisning"/>
        </w:rPr>
        <w:footnoteRef/>
      </w:r>
      <w:r>
        <w:t xml:space="preserve"> </w:t>
      </w:r>
      <w:r w:rsidRPr="002F7133">
        <w:t>Vejledning om streng beskyttelse af dyrearter af fællesskabsbetydning i henhold til habitatdirektivet</w:t>
      </w:r>
      <w:r>
        <w:t xml:space="preserve">, </w:t>
      </w:r>
      <w:r w:rsidRPr="007557CD">
        <w:t>2021/C 496/01</w:t>
      </w:r>
      <w:r>
        <w:t xml:space="preserve">, pkt. 2-56. </w:t>
      </w:r>
      <w:r w:rsidRPr="00DE05C3">
        <w:rPr>
          <w:bCs/>
          <w:color w:val="000000"/>
          <w:shd w:val="clear" w:color="auto" w:fill="FFFFFF"/>
        </w:rPr>
        <w:t> </w:t>
      </w:r>
    </w:p>
  </w:footnote>
  <w:footnote w:id="17">
    <w:p w14:paraId="1CEA875F" w14:textId="77777777" w:rsidR="00E7224B" w:rsidRDefault="00E7224B" w:rsidP="00E7224B">
      <w:pPr>
        <w:pStyle w:val="Fodnotetekst"/>
      </w:pPr>
      <w:r>
        <w:rPr>
          <w:rStyle w:val="Fodnotehenvisning"/>
        </w:rPr>
        <w:footnoteRef/>
      </w:r>
      <w:r>
        <w:t xml:space="preserve"> </w:t>
      </w:r>
      <w:r w:rsidR="002F7133">
        <w:t xml:space="preserve">F.eks. </w:t>
      </w:r>
      <w:r>
        <w:t>MFKN afgørelse af d. 29. august 2023, sag jr. nr. 22/10478.</w:t>
      </w:r>
    </w:p>
  </w:footnote>
  <w:footnote w:id="18">
    <w:p w14:paraId="320456CC" w14:textId="77777777" w:rsidR="009F767F" w:rsidRDefault="009F767F" w:rsidP="009F767F">
      <w:pPr>
        <w:pStyle w:val="Fodnotetekst"/>
      </w:pPr>
      <w:r>
        <w:rPr>
          <w:rStyle w:val="Fodnotehenvisning"/>
        </w:rPr>
        <w:footnoteRef/>
      </w:r>
      <w:r>
        <w:t xml:space="preserve"> Under udarbejdelse.</w:t>
      </w:r>
    </w:p>
  </w:footnote>
  <w:footnote w:id="19">
    <w:p w14:paraId="731F362C" w14:textId="713AF480" w:rsidR="00200FB7" w:rsidRDefault="00200FB7">
      <w:pPr>
        <w:pStyle w:val="Fodnotetekst"/>
      </w:pPr>
      <w:r>
        <w:rPr>
          <w:rStyle w:val="Fodnotehenvisning"/>
        </w:rPr>
        <w:footnoteRef/>
      </w:r>
      <w:r>
        <w:t xml:space="preserve"> Habitatvejledningen s. 66, oplister en række kilder, der kan bruges til at fremsøge oplysninger om arternes forekomst</w:t>
      </w:r>
      <w:r w:rsidR="00521605">
        <w:t xml:space="preserve"> og udbredelse</w:t>
      </w:r>
      <w:r>
        <w:t xml:space="preserve">. </w:t>
      </w:r>
    </w:p>
  </w:footnote>
  <w:footnote w:id="20">
    <w:p w14:paraId="6C58039A" w14:textId="77777777" w:rsidR="007D659C" w:rsidRDefault="007D659C">
      <w:pPr>
        <w:pStyle w:val="Fodnotetekst"/>
      </w:pPr>
      <w:r>
        <w:rPr>
          <w:rStyle w:val="Fodnotehenvisning"/>
        </w:rPr>
        <w:footnoteRef/>
      </w:r>
      <w:r>
        <w:t xml:space="preserve"> Se nærmere i Habitatvejledningen, s. 67.</w:t>
      </w:r>
    </w:p>
  </w:footnote>
  <w:footnote w:id="21">
    <w:p w14:paraId="7DE6C296" w14:textId="0CD26F3A" w:rsidR="00AC0C16" w:rsidRDefault="00AC0C16">
      <w:pPr>
        <w:pStyle w:val="Fodnotetekst"/>
      </w:pPr>
      <w:r>
        <w:rPr>
          <w:rStyle w:val="Fodnotehenvisning"/>
        </w:rPr>
        <w:footnoteRef/>
      </w:r>
      <w:r>
        <w:t xml:space="preserve"> MFKN afgørelse af d. </w:t>
      </w:r>
      <w:r w:rsidRPr="001C12B6">
        <w:t>31. maj 2021</w:t>
      </w:r>
      <w:r>
        <w:t xml:space="preserve">, </w:t>
      </w:r>
      <w:r w:rsidRPr="001C12B6">
        <w:t xml:space="preserve">sag </w:t>
      </w:r>
      <w:r>
        <w:t xml:space="preserve">jr. nr. </w:t>
      </w:r>
      <w:r w:rsidRPr="001C12B6">
        <w:t>19/06809.</w:t>
      </w:r>
    </w:p>
  </w:footnote>
  <w:footnote w:id="22">
    <w:p w14:paraId="1899F806" w14:textId="7FF59137" w:rsidR="00E7224B" w:rsidRDefault="00E7224B" w:rsidP="00E7224B">
      <w:pPr>
        <w:pStyle w:val="Fodnotetekst"/>
      </w:pPr>
      <w:r>
        <w:rPr>
          <w:rStyle w:val="Fodnotehenvisning"/>
        </w:rPr>
        <w:footnoteRef/>
      </w:r>
      <w:r>
        <w:t xml:space="preserve"> </w:t>
      </w:r>
      <w:r w:rsidR="002F7133">
        <w:t>V</w:t>
      </w:r>
      <w:r w:rsidRPr="007557CD">
        <w:t>ejledning om streng beskyttelse af dyrearter af fællesskabsbetydning i henhold til habitatdirektivet, 2021/C 496/01</w:t>
      </w:r>
      <w:r w:rsidR="00B717BE">
        <w:t>, pkt. 2-</w:t>
      </w:r>
      <w:r w:rsidR="00157105">
        <w:t>52</w:t>
      </w:r>
      <w:r w:rsidR="00B717BE">
        <w:t>.</w:t>
      </w:r>
    </w:p>
  </w:footnote>
  <w:footnote w:id="23">
    <w:p w14:paraId="65CCB1BA" w14:textId="77777777" w:rsidR="00B717BE" w:rsidRDefault="00B717BE">
      <w:pPr>
        <w:pStyle w:val="Fodnotetekst"/>
      </w:pPr>
      <w:r>
        <w:rPr>
          <w:rStyle w:val="Fodnotehenvisning"/>
        </w:rPr>
        <w:footnoteRef/>
      </w:r>
      <w:r>
        <w:t xml:space="preserve"> V</w:t>
      </w:r>
      <w:r w:rsidRPr="007557CD">
        <w:t>ejledning om streng beskyttelse af dyrearter af fællesskabsbetydning i henhold til habitatdirektivet, 2021/C 496/01</w:t>
      </w:r>
      <w:r>
        <w:t>, pkt. 2-73.</w:t>
      </w:r>
    </w:p>
  </w:footnote>
  <w:footnote w:id="24">
    <w:p w14:paraId="78CB2B92" w14:textId="77777777" w:rsidR="00E7224B" w:rsidRDefault="00E7224B" w:rsidP="00E7224B">
      <w:pPr>
        <w:pStyle w:val="Fodnotetekst"/>
      </w:pPr>
      <w:r>
        <w:rPr>
          <w:rStyle w:val="Fodnotehenvisning"/>
        </w:rPr>
        <w:footnoteRef/>
      </w:r>
      <w:r>
        <w:t xml:space="preserve"> Se f.eks. MFKN afgørelse af d. 23. februar 2023, sag jr. n</w:t>
      </w:r>
      <w:r w:rsidR="005D138C">
        <w:t>r. 22/02461, hvor nævnet lagde v</w:t>
      </w:r>
      <w:r>
        <w:t xml:space="preserve">ægt på, at </w:t>
      </w:r>
      <w:r w:rsidRPr="00165DAB">
        <w:t xml:space="preserve">der ikke </w:t>
      </w:r>
      <w:r>
        <w:t>var</w:t>
      </w:r>
      <w:r w:rsidRPr="00165DAB">
        <w:t xml:space="preserve"> foretaget en vurdering af, om støjen i </w:t>
      </w:r>
      <w:r>
        <w:t>projektets anlægsfase</w:t>
      </w:r>
      <w:r w:rsidRPr="00165DAB">
        <w:t xml:space="preserve"> fra nedramning af spuns vil kunne påvirke yngle- og rasteområder for flagermus.</w:t>
      </w:r>
      <w:r w:rsidRPr="00AC5584">
        <w:rPr>
          <w:color w:val="000000"/>
        </w:rPr>
        <w:t xml:space="preserve"> </w:t>
      </w:r>
    </w:p>
  </w:footnote>
  <w:footnote w:id="25">
    <w:p w14:paraId="25537BAC" w14:textId="77777777" w:rsidR="00E7224B" w:rsidRDefault="00E7224B" w:rsidP="00E7224B">
      <w:pPr>
        <w:pStyle w:val="Fodnotetekst"/>
      </w:pPr>
      <w:r>
        <w:rPr>
          <w:rStyle w:val="Fodnotehenvisning"/>
        </w:rPr>
        <w:footnoteRef/>
      </w:r>
      <w:r>
        <w:t xml:space="preserve"> </w:t>
      </w:r>
      <w:r w:rsidRPr="0010037D">
        <w:t>C-357/20,</w:t>
      </w:r>
      <w:r>
        <w:t xml:space="preserve"> </w:t>
      </w:r>
      <w:r w:rsidRPr="00F5131E">
        <w:rPr>
          <w:i/>
        </w:rPr>
        <w:t>Europæisk hamster II</w:t>
      </w:r>
      <w:r>
        <w:rPr>
          <w:i/>
        </w:rPr>
        <w:t xml:space="preserve">, </w:t>
      </w:r>
      <w:r w:rsidRPr="0010037D">
        <w:t>præmis 52.</w:t>
      </w:r>
    </w:p>
  </w:footnote>
  <w:footnote w:id="26">
    <w:p w14:paraId="7587C6E4" w14:textId="77777777" w:rsidR="006473AB" w:rsidRPr="006C2C7F" w:rsidRDefault="006473AB" w:rsidP="006473AB">
      <w:pPr>
        <w:pStyle w:val="Fodnotetekst"/>
      </w:pPr>
      <w:r>
        <w:rPr>
          <w:rStyle w:val="Fodnotehenvisning"/>
        </w:rPr>
        <w:footnoteRef/>
      </w:r>
      <w:r>
        <w:t xml:space="preserve"> Afværgeh</w:t>
      </w:r>
      <w:r w:rsidRPr="006C2C7F">
        <w:t>ierarkiet betyder, at den første prioritet er at undgå påvirkninger, anden prioritet er at minimere påvirkninger osv.</w:t>
      </w:r>
      <w:r>
        <w:t xml:space="preserve"> Hierarkiet omtales indirekte i miljøvurderingslovens bilag 7, pkt. 7, hvorefter en miljøkonsekvensrapport skal indeholde en </w:t>
      </w:r>
      <w:r w:rsidRPr="006C2C7F">
        <w:t xml:space="preserve">beskrivelse af </w:t>
      </w:r>
      <w:r>
        <w:t>”</w:t>
      </w:r>
      <w:r w:rsidRPr="006C2C7F">
        <w:rPr>
          <w:i/>
        </w:rPr>
        <w:t>de påtænkte foranstaltninger med henblik på at undgå, forebygge, begrænse eller om muligt neutralisere identificerede væsentlige skadelige virkninger på miljøet</w:t>
      </w:r>
      <w:r>
        <w:t>”.</w:t>
      </w:r>
    </w:p>
  </w:footnote>
  <w:footnote w:id="27">
    <w:p w14:paraId="6CC28BF7" w14:textId="5317DC21" w:rsidR="006473AB" w:rsidRPr="006473AB" w:rsidRDefault="006473AB">
      <w:pPr>
        <w:pStyle w:val="Fodnotetekst"/>
      </w:pPr>
      <w:r>
        <w:rPr>
          <w:rStyle w:val="Fodnotehenvisning"/>
        </w:rPr>
        <w:footnoteRef/>
      </w:r>
      <w:r>
        <w:t xml:space="preserve"> Habitatvejledningen, s. 69. </w:t>
      </w:r>
    </w:p>
  </w:footnote>
  <w:footnote w:id="28">
    <w:p w14:paraId="0EBC443D" w14:textId="77777777" w:rsidR="00116959" w:rsidRDefault="00116959">
      <w:pPr>
        <w:pStyle w:val="Fodnotetekst"/>
      </w:pPr>
      <w:r>
        <w:rPr>
          <w:rStyle w:val="Fodnotehenvisning"/>
        </w:rPr>
        <w:footnoteRef/>
      </w:r>
      <w:r>
        <w:t xml:space="preserve"> Se nærmere i Habitatvejledningen, s. 69.</w:t>
      </w:r>
    </w:p>
  </w:footnote>
  <w:footnote w:id="29">
    <w:p w14:paraId="584C0290" w14:textId="77777777" w:rsidR="0085497C" w:rsidRPr="0085497C" w:rsidRDefault="0085497C" w:rsidP="0085497C">
      <w:pPr>
        <w:pStyle w:val="Fodnotetekst"/>
      </w:pPr>
      <w:r>
        <w:rPr>
          <w:rStyle w:val="Fodnotehenvisning"/>
        </w:rPr>
        <w:footnoteRef/>
      </w:r>
      <w:r>
        <w:t xml:space="preserve"> </w:t>
      </w:r>
      <w:r w:rsidRPr="007557CD">
        <w:t>Vejledning om streng beskyttelse af dyrearter af fællesskabsbetydning i henhold til habitatdirektivet, 2021/C 496/01</w:t>
      </w:r>
      <w:r>
        <w:t>, pkt. 2-68.</w:t>
      </w:r>
    </w:p>
  </w:footnote>
  <w:footnote w:id="30">
    <w:p w14:paraId="679287F6" w14:textId="77777777" w:rsidR="00116959" w:rsidRDefault="00116959" w:rsidP="00116959">
      <w:pPr>
        <w:pStyle w:val="Fodnotetekst"/>
      </w:pPr>
      <w:r>
        <w:rPr>
          <w:rStyle w:val="Fodnotehenvisning"/>
        </w:rPr>
        <w:footnoteRef/>
      </w:r>
      <w:r>
        <w:t xml:space="preserve"> Håndbog om dyrearter på habitatdirektivets bilag IV, </w:t>
      </w:r>
      <w:r w:rsidRPr="00D21C43">
        <w:t>Faglig rapport fra DMU nr. 635, 200</w:t>
      </w:r>
      <w:r>
        <w:t xml:space="preserve">7; Opdatering af Håndbog om dyrearter på habitatdirektivets bilag IV, </w:t>
      </w:r>
      <w:r w:rsidRPr="00D21C43">
        <w:t>Videnskabelig rapport fra DCE</w:t>
      </w:r>
      <w:r>
        <w:t xml:space="preserve"> nr. 520, 2003; Opdatering af Håndbog om dyrearter på habitatdirektivets bilag IV, del 2 – Odder og flagermus, </w:t>
      </w:r>
      <w:r w:rsidRPr="00D21C43">
        <w:t>Videnskabelig rapport fra DCE</w:t>
      </w:r>
      <w:r>
        <w:t xml:space="preserve"> nr. 603, 2024.</w:t>
      </w:r>
    </w:p>
  </w:footnote>
  <w:footnote w:id="31">
    <w:p w14:paraId="7B76E438" w14:textId="713C915A" w:rsidR="00E7224B" w:rsidRDefault="00E7224B" w:rsidP="00E7224B">
      <w:pPr>
        <w:pStyle w:val="Fodnotetekst"/>
      </w:pPr>
      <w:r>
        <w:rPr>
          <w:rStyle w:val="Fodnotehenvisning"/>
        </w:rPr>
        <w:footnoteRef/>
      </w:r>
      <w:r>
        <w:t xml:space="preserve"> </w:t>
      </w:r>
      <w:r w:rsidRPr="007557CD">
        <w:t>Vejledning om streng beskyttelse af dyrearter af fællesskabsbetydning i henhold til habitatdirektivet, 2021/C 496/01</w:t>
      </w:r>
      <w:r w:rsidR="0017132E">
        <w:t>, pkt. 2-69.</w:t>
      </w:r>
    </w:p>
  </w:footnote>
  <w:footnote w:id="32">
    <w:p w14:paraId="1B1E4237" w14:textId="77777777" w:rsidR="00E7224B" w:rsidRDefault="00E7224B" w:rsidP="00E7224B">
      <w:pPr>
        <w:pStyle w:val="Fodnotetekst"/>
      </w:pPr>
      <w:r>
        <w:rPr>
          <w:rStyle w:val="Fodnotehenvisning"/>
        </w:rPr>
        <w:footnoteRef/>
      </w:r>
      <w:r>
        <w:t xml:space="preserve"> MFKN afgørelse af d. 25. marts 2021, sag jr. nr. </w:t>
      </w:r>
      <w:r>
        <w:rPr>
          <w:color w:val="000000"/>
        </w:rPr>
        <w:t>19/09167.</w:t>
      </w:r>
    </w:p>
  </w:footnote>
  <w:footnote w:id="33">
    <w:p w14:paraId="5B95C414" w14:textId="77777777" w:rsidR="001723E7" w:rsidRDefault="001723E7" w:rsidP="001723E7">
      <w:pPr>
        <w:pStyle w:val="Fodnotetekst"/>
      </w:pPr>
      <w:r>
        <w:rPr>
          <w:rStyle w:val="Fodnotehenvisning"/>
        </w:rPr>
        <w:footnoteRef/>
      </w:r>
      <w:r>
        <w:t xml:space="preserve"> </w:t>
      </w:r>
      <w:r w:rsidRPr="008F7507">
        <w:t>Vejledning om streng beskyttelse af dyrearter af fællesskabsbetydning i henhold til habitatdirektivet, 2021/C 496/01, pkt. 2-69.</w:t>
      </w:r>
    </w:p>
  </w:footnote>
  <w:footnote w:id="34">
    <w:p w14:paraId="72DEF3D8" w14:textId="7BB468B9" w:rsidR="00E7224B" w:rsidRDefault="00E7224B" w:rsidP="00E7224B">
      <w:pPr>
        <w:pStyle w:val="Fodnotetekst"/>
      </w:pPr>
      <w:r>
        <w:rPr>
          <w:rStyle w:val="Fodnotehenvisning"/>
        </w:rPr>
        <w:footnoteRef/>
      </w:r>
      <w:r>
        <w:t xml:space="preserve"> </w:t>
      </w:r>
      <w:r w:rsidR="001B7D59">
        <w:t>Se eks. MFKN afgørelse af d. 7. juli 2021, sag jr. nr. 21/05337 og 21/05338.</w:t>
      </w:r>
    </w:p>
  </w:footnote>
  <w:footnote w:id="35">
    <w:p w14:paraId="438B891F" w14:textId="77777777" w:rsidR="00191860" w:rsidRDefault="00191860" w:rsidP="00191860">
      <w:pPr>
        <w:pStyle w:val="Fodnotetekst"/>
      </w:pPr>
      <w:r>
        <w:rPr>
          <w:rStyle w:val="Fodnotehenvisning"/>
        </w:rPr>
        <w:footnoteRef/>
      </w:r>
      <w:r>
        <w:t xml:space="preserve"> </w:t>
      </w:r>
      <w:r w:rsidRPr="00751111">
        <w:t>Vejledning om streng beskyttelse af dyrearter af fællesskabsbetydning i henhold til habit</w:t>
      </w:r>
      <w:r>
        <w:t>atdirektivet, 2021/C 496/01, pkt. 3-84.</w:t>
      </w:r>
    </w:p>
  </w:footnote>
  <w:footnote w:id="36">
    <w:p w14:paraId="6E3DAAB0" w14:textId="77777777" w:rsidR="00E7224B" w:rsidRDefault="00E7224B" w:rsidP="00E7224B">
      <w:pPr>
        <w:ind w:right="-1759"/>
        <w:jc w:val="both"/>
      </w:pPr>
      <w:r>
        <w:rPr>
          <w:rStyle w:val="Fodnotehenvisning"/>
        </w:rPr>
        <w:footnoteRef/>
      </w:r>
      <w:r>
        <w:t xml:space="preserve"> </w:t>
      </w:r>
      <w:r w:rsidRPr="001F2A7F">
        <w:rPr>
          <w:sz w:val="18"/>
        </w:rPr>
        <w:t>Bekendtgørelse nr. 773 af 20. juni 2024</w:t>
      </w:r>
      <w:r>
        <w:rPr>
          <w:sz w:val="18"/>
        </w:rPr>
        <w:t xml:space="preserve"> o</w:t>
      </w:r>
      <w:r w:rsidRPr="001F2A7F">
        <w:rPr>
          <w:sz w:val="18"/>
        </w:rPr>
        <w:t>m kontaktpunkt, VE-tilladelsesprocessen og områder til fremme af VE</w:t>
      </w:r>
      <w:r>
        <w:rPr>
          <w:sz w:val="18"/>
        </w:rPr>
        <w:t>.</w:t>
      </w:r>
    </w:p>
  </w:footnote>
  <w:footnote w:id="37">
    <w:p w14:paraId="4ECA20A4" w14:textId="77777777" w:rsidR="00E7224B" w:rsidRDefault="00E7224B" w:rsidP="00E7224B">
      <w:pPr>
        <w:pStyle w:val="Fodnotetekst"/>
      </w:pPr>
      <w:r>
        <w:rPr>
          <w:rStyle w:val="Fodnotehenvisning"/>
        </w:rPr>
        <w:footnoteRef/>
      </w:r>
      <w:r>
        <w:t xml:space="preserve"> Bekendtgørelse nr. </w:t>
      </w:r>
      <w:r w:rsidRPr="000603B3">
        <w:t>774 af 20</w:t>
      </w:r>
      <w:r>
        <w:t xml:space="preserve">. juni 2024 om </w:t>
      </w:r>
      <w:r w:rsidRPr="000603B3">
        <w:t>fastsættelse af supplerende bestemmelser for anvendelse af visse dele af Rådets forordning (EU) 2022/2577 om en ramme for fremskyndelse af udbredelsen af vedvarende energi og Rådets forordning (EU) 2024/223 om ændring af EU-forordning 2022/2577</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AC731" w14:textId="77777777" w:rsidR="00E7224B" w:rsidRDefault="00E7224B">
    <w:pPr>
      <w:pStyle w:val="Sidehoved"/>
    </w:pPr>
  </w:p>
  <w:p w14:paraId="5C5880AF" w14:textId="77777777" w:rsidR="00E7224B" w:rsidRDefault="00E7224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77CC9" w14:textId="77777777" w:rsidR="00E7224B" w:rsidRPr="00E959A5" w:rsidRDefault="00E7224B" w:rsidP="00EE0137">
    <w:r w:rsidRPr="00E959A5">
      <w:rPr>
        <w:noProof/>
      </w:rPr>
      <mc:AlternateContent>
        <mc:Choice Requires="wps">
          <w:drawing>
            <wp:anchor distT="0" distB="0" distL="114300" distR="114300" simplePos="0" relativeHeight="251660288" behindDoc="0" locked="1" layoutInCell="1" allowOverlap="1" wp14:anchorId="690EB753" wp14:editId="749BC7D6">
              <wp:simplePos x="0" y="0"/>
              <wp:positionH relativeFrom="rightMargin">
                <wp:align>right</wp:align>
              </wp:positionH>
              <wp:positionV relativeFrom="page">
                <wp:posOffset>1263015</wp:posOffset>
              </wp:positionV>
              <wp:extent cx="2016000" cy="2361600"/>
              <wp:effectExtent l="0" t="0" r="3810" b="635"/>
              <wp:wrapNone/>
              <wp:docPr id="3" name="Kolofon"/>
              <wp:cNvGraphicFramePr/>
              <a:graphic xmlns:a="http://schemas.openxmlformats.org/drawingml/2006/main">
                <a:graphicData uri="http://schemas.microsoft.com/office/word/2010/wordprocessingShape">
                  <wps:wsp>
                    <wps:cNvSpPr txBox="1"/>
                    <wps:spPr>
                      <a:xfrm>
                        <a:off x="0" y="0"/>
                        <a:ext cx="2016000" cy="236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755"/>
                          </w:tblGrid>
                          <w:tr w:rsidR="00E7224B" w14:paraId="2CEE0D46" w14:textId="77777777">
                            <w:trPr>
                              <w:cantSplit/>
                              <w:trHeight w:val="2778"/>
                            </w:trPr>
                            <w:tc>
                              <w:tcPr>
                                <w:tcW w:w="2755" w:type="dxa"/>
                                <w:tcMar>
                                  <w:top w:w="34" w:type="dxa"/>
                                  <w:left w:w="0" w:type="dxa"/>
                                  <w:bottom w:w="28" w:type="dxa"/>
                                  <w:right w:w="0" w:type="dxa"/>
                                </w:tcMar>
                              </w:tcPr>
                              <w:p w14:paraId="4AC82C23" w14:textId="2317F8BF" w:rsidR="00E7224B" w:rsidRPr="001665F4" w:rsidRDefault="001A72CC" w:rsidP="00411D14">
                                <w:pPr>
                                  <w:pStyle w:val="DocumentName"/>
                                  <w:rPr>
                                    <w:caps w:val="0"/>
                                  </w:rPr>
                                </w:pPr>
                                <w:r>
                                  <w:rPr>
                                    <w:caps w:val="0"/>
                                  </w:rPr>
                                  <w:t>Miljøvurdering og Plan</w:t>
                                </w:r>
                              </w:p>
                              <w:p w14:paraId="7C5226FC" w14:textId="77777777" w:rsidR="00E7224B" w:rsidRPr="001665F4" w:rsidRDefault="00E7224B" w:rsidP="00EE0B94">
                                <w:r w:rsidRPr="001665F4">
                                  <w:t>J.nr. 2024 - 63244</w:t>
                                </w:r>
                              </w:p>
                              <w:p w14:paraId="76AE7D71" w14:textId="77777777" w:rsidR="00E7224B" w:rsidRPr="001665F4" w:rsidRDefault="00E7224B" w:rsidP="00EE0B94">
                                <w:r w:rsidRPr="001665F4">
                                  <w:t>Ref. sanfi</w:t>
                                </w:r>
                              </w:p>
                              <w:p w14:paraId="1F0F4779" w14:textId="28CF343A" w:rsidR="00E7224B" w:rsidRPr="001665F4" w:rsidRDefault="00E7224B" w:rsidP="00EE0B94">
                                <w:r w:rsidRPr="001665F4">
                                  <w:t xml:space="preserve">Den </w:t>
                                </w:r>
                                <w:r w:rsidR="00986ECB">
                                  <w:t>2</w:t>
                                </w:r>
                                <w:r w:rsidR="0098598D">
                                  <w:t>5</w:t>
                                </w:r>
                                <w:r w:rsidR="00986ECB">
                                  <w:t>. oktober 2024</w:t>
                                </w:r>
                              </w:p>
                              <w:p w14:paraId="2835A455" w14:textId="77777777" w:rsidR="00E7224B" w:rsidRDefault="00E7224B" w:rsidP="00EE0B94">
                                <w:pPr>
                                  <w:pStyle w:val="Kolofontekst"/>
                                </w:pPr>
                              </w:p>
                            </w:tc>
                          </w:tr>
                        </w:tbl>
                        <w:p w14:paraId="437FF957" w14:textId="77777777" w:rsidR="00E7224B" w:rsidRDefault="00E7224B" w:rsidP="00EE013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EB753" id="_x0000_t202" coordsize="21600,21600" o:spt="202" path="m,l,21600r21600,l21600,xe">
              <v:stroke joinstyle="miter"/>
              <v:path gradientshapeok="t" o:connecttype="rect"/>
            </v:shapetype>
            <v:shape id="Kolofon" o:spid="_x0000_s1027" type="#_x0000_t202" style="position:absolute;margin-left:107.55pt;margin-top:99.45pt;width:158.75pt;height:185.95pt;z-index:251660288;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2AncAIAAFAFAAAOAAAAZHJzL2Uyb0RvYy54bWysVE1v2zAMvQ/YfxB0X+02WDAEcYqsRYdh&#10;RVs0HXpWZKkxJokapcTOfv0o2U6KbJcOu8i0+Ejx8Wt+2VnDdgpDA67i52clZ8pJqBv3UvHvTzcf&#10;PnEWonC1MOBUxfcq8MvF+3fz1s/UBWzA1AoZOXFh1vqKb2L0s6IIcqOsCGfglSOlBrQi0i++FDWK&#10;lrxbU1yU5bRoAWuPIFUIdHvdK/ki+9dayXivdVCRmYpTbDGfmM91OovFXMxeUPhNI4cwxD9EYUXj&#10;6NGDq2sRBdti84cr20iEADqeSbAFaN1IlTkQm/PyhM1qI7zKXCg5wR/SFP6fW3m3e0DW1BWfcOaE&#10;pRJ9AwMaXEpN68OMECtPmNh9ho5KPN4HukyMO402fYkLIz0leX9IrOoik3RJ3KZlSSpJuovJNP0l&#10;P8XR3GOIXxRYloSKI1UuJ1TsbkPsoSMkvebgpjEmV8841lZ8OvlYZoODhpwbl7Aq98HgJlHqQ89S&#10;3BuVMMY9Kk15yAzSRe5AdWWQ7QT1jpBSuZjJZ7+ETihNQbzFcMAfo3qLcc9jfBlcPBjbxgFm9idh&#10;1z/GkKmiCU85f8U7ibFbd0Op11DvqdII/ZgEL28aqsatCPFBIM0FVZBmPd7ToQ1Q1mGQONsA/vrb&#10;fcJTu5KWs5bmrOLh51ag4sx8ddTIaShHAUdhPQpua6+A0n9OW8TLLJIBRjOKGsE+0wpYpldIJZyk&#10;tyoeR/Eq9tNOK0Sq5TKDaPS8iLdu5WVynaqReuupexbohwaM1Lt3ME6gmJ30YY9Nlg6W2wi6yU2a&#10;EtpncUg0jW1u82HFpL3w+j+jjotw8RsAAP//AwBQSwMEFAAGAAgAAAAhAOYa4XHeAAAACAEAAA8A&#10;AABkcnMvZG93bnJldi54bWxMj0tPwzAQhO9I/AdrkbhRO6DSNMSpEI8bz7ZIcHPiJYnwI7KdNPx7&#10;lhMcZ2c18025ma1hE4bYeychWwhg6Bqve9dK2O/uz3JgMSmnlfEOJXxjhE11fFSqQvuDe8Vpm1pG&#10;IS4WSkKX0lBwHpsOrYoLP6Aj79MHqxLJ0HId1IHCreHnQlxyq3pHDZ0a8KbD5ms7WgnmPYaHWqSP&#10;6bZ9TC/PfHy7y56kPD2Zr6+AJZzT3zP84hM6VMRU+9HpyIwEGpLous7XwMi+yFZLYLWE5UrkwKuS&#10;/x9Q/QAAAP//AwBQSwECLQAUAAYACAAAACEAtoM4kv4AAADhAQAAEwAAAAAAAAAAAAAAAAAAAAAA&#10;W0NvbnRlbnRfVHlwZXNdLnhtbFBLAQItABQABgAIAAAAIQA4/SH/1gAAAJQBAAALAAAAAAAAAAAA&#10;AAAAAC8BAABfcmVscy8ucmVsc1BLAQItABQABgAIAAAAIQCe82AncAIAAFAFAAAOAAAAAAAAAAAA&#10;AAAAAC4CAABkcnMvZTJvRG9jLnhtbFBLAQItABQABgAIAAAAIQDmGuFx3gAAAAgBAAAPAAAAAAAA&#10;AAAAAAAAAMoEAABkcnMvZG93bnJldi54bWxQSwUGAAAAAAQABADzAAAA1QU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755"/>
                    </w:tblGrid>
                    <w:tr w:rsidR="00E7224B" w14:paraId="2CEE0D46" w14:textId="77777777">
                      <w:trPr>
                        <w:cantSplit/>
                        <w:trHeight w:val="2778"/>
                      </w:trPr>
                      <w:tc>
                        <w:tcPr>
                          <w:tcW w:w="2755" w:type="dxa"/>
                          <w:tcMar>
                            <w:top w:w="34" w:type="dxa"/>
                            <w:left w:w="0" w:type="dxa"/>
                            <w:bottom w:w="28" w:type="dxa"/>
                            <w:right w:w="0" w:type="dxa"/>
                          </w:tcMar>
                        </w:tcPr>
                        <w:p w14:paraId="4AC82C23" w14:textId="2317F8BF" w:rsidR="00E7224B" w:rsidRPr="001665F4" w:rsidRDefault="001A72CC" w:rsidP="00411D14">
                          <w:pPr>
                            <w:pStyle w:val="DocumentName"/>
                            <w:rPr>
                              <w:caps w:val="0"/>
                            </w:rPr>
                          </w:pPr>
                          <w:r>
                            <w:rPr>
                              <w:caps w:val="0"/>
                            </w:rPr>
                            <w:t>Miljøvurdering og Plan</w:t>
                          </w:r>
                        </w:p>
                        <w:p w14:paraId="7C5226FC" w14:textId="77777777" w:rsidR="00E7224B" w:rsidRPr="001665F4" w:rsidRDefault="00E7224B" w:rsidP="00EE0B94">
                          <w:r w:rsidRPr="001665F4">
                            <w:t>J.nr. 2024 - 63244</w:t>
                          </w:r>
                        </w:p>
                        <w:p w14:paraId="76AE7D71" w14:textId="77777777" w:rsidR="00E7224B" w:rsidRPr="001665F4" w:rsidRDefault="00E7224B" w:rsidP="00EE0B94">
                          <w:r w:rsidRPr="001665F4">
                            <w:t>Ref. sanfi</w:t>
                          </w:r>
                        </w:p>
                        <w:p w14:paraId="1F0F4779" w14:textId="28CF343A" w:rsidR="00E7224B" w:rsidRPr="001665F4" w:rsidRDefault="00E7224B" w:rsidP="00EE0B94">
                          <w:r w:rsidRPr="001665F4">
                            <w:t xml:space="preserve">Den </w:t>
                          </w:r>
                          <w:r w:rsidR="00986ECB">
                            <w:t>2</w:t>
                          </w:r>
                          <w:r w:rsidR="0098598D">
                            <w:t>5</w:t>
                          </w:r>
                          <w:r w:rsidR="00986ECB">
                            <w:t>. oktober 2024</w:t>
                          </w:r>
                        </w:p>
                        <w:p w14:paraId="2835A455" w14:textId="77777777" w:rsidR="00E7224B" w:rsidRDefault="00E7224B" w:rsidP="00EE0B94">
                          <w:pPr>
                            <w:pStyle w:val="Kolofontekst"/>
                          </w:pPr>
                        </w:p>
                      </w:tc>
                    </w:tr>
                  </w:tbl>
                  <w:p w14:paraId="437FF957" w14:textId="77777777" w:rsidR="00E7224B" w:rsidRDefault="00E7224B" w:rsidP="00EE0137"/>
                </w:txbxContent>
              </v:textbox>
              <w10:wrap anchorx="margin" anchory="page"/>
              <w10:anchorlock/>
            </v:shape>
          </w:pict>
        </mc:Fallback>
      </mc:AlternateContent>
    </w:r>
  </w:p>
  <w:p w14:paraId="7F7AE097" w14:textId="16689BA9" w:rsidR="00E7224B" w:rsidRDefault="001A72CC" w:rsidP="007E1CD7">
    <w:pPr>
      <w:pStyle w:val="DocumentName"/>
      <w:tabs>
        <w:tab w:val="clear" w:pos="9638"/>
        <w:tab w:val="right" w:pos="7230"/>
      </w:tabs>
      <w:rPr>
        <w:caps w:val="0"/>
      </w:rPr>
    </w:pPr>
    <w:r>
      <w:rPr>
        <w:caps w:val="0"/>
        <w:noProof/>
      </w:rPr>
      <mc:AlternateContent>
        <mc:Choice Requires="wps">
          <w:drawing>
            <wp:anchor distT="0" distB="0" distL="114300" distR="114300" simplePos="0" relativeHeight="251661312" behindDoc="0" locked="0" layoutInCell="1" allowOverlap="1" wp14:anchorId="462851E6" wp14:editId="2CADCD95">
              <wp:simplePos x="0" y="0"/>
              <wp:positionH relativeFrom="column">
                <wp:posOffset>3810466</wp:posOffset>
              </wp:positionH>
              <wp:positionV relativeFrom="paragraph">
                <wp:posOffset>81658</wp:posOffset>
              </wp:positionV>
              <wp:extent cx="2251244" cy="619246"/>
              <wp:effectExtent l="0" t="0" r="0" b="9525"/>
              <wp:wrapNone/>
              <wp:docPr id="6" name="Tekstfelt 6"/>
              <wp:cNvGraphicFramePr/>
              <a:graphic xmlns:a="http://schemas.openxmlformats.org/drawingml/2006/main">
                <a:graphicData uri="http://schemas.microsoft.com/office/word/2010/wordprocessingShape">
                  <wps:wsp>
                    <wps:cNvSpPr txBox="1"/>
                    <wps:spPr>
                      <a:xfrm>
                        <a:off x="0" y="0"/>
                        <a:ext cx="2251244" cy="619246"/>
                      </a:xfrm>
                      <a:prstGeom prst="rect">
                        <a:avLst/>
                      </a:prstGeom>
                      <a:solidFill>
                        <a:schemeClr val="lt1"/>
                      </a:solidFill>
                      <a:ln w="6350">
                        <a:noFill/>
                      </a:ln>
                    </wps:spPr>
                    <wps:txbx>
                      <w:txbxContent>
                        <w:p w14:paraId="3FAE96BE" w14:textId="77777777" w:rsidR="001A72CC" w:rsidRDefault="001A72CC">
                          <w:r w:rsidRPr="001A72CC">
                            <w:t xml:space="preserve">Styrelsen for Grøn Arealomlægning </w:t>
                          </w:r>
                        </w:p>
                        <w:p w14:paraId="4AB2AFC2" w14:textId="1F3B440E" w:rsidR="001A72CC" w:rsidRDefault="001A72CC">
                          <w:r w:rsidRPr="001A72CC">
                            <w:t>og Vandmiljø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2851E6" id="Tekstfelt 6" o:spid="_x0000_s1028" type="#_x0000_t202" style="position:absolute;margin-left:300.05pt;margin-top:6.45pt;width:177.25pt;height:48.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cvmRgIAAIEEAAAOAAAAZHJzL2Uyb0RvYy54bWysVN9v2jAQfp+0/8Hy+whkwFpEqBgV06Sq&#10;rQRTn41jQzTH59kHCfvrd3aAsm5P016cO9/5fnzfXaZ3bW3YQflQgS34oNfnTFkJZWW3Bf+2Xn64&#10;4SygsKUwYFXBjyrwu9n7d9PGTVQOOzCl8oyC2DBpXMF3iG6SZUHuVC1CD5yyZNTga4Gk+m1WetFQ&#10;9Npkeb8/zhrwpfMgVQh0e98Z+SzF11pJfNI6KGSm4FQbptOncxPPbDYVk60XblfJUxniH6qoRWUp&#10;6SXUvUDB9r76I1RdSQ8BNPYk1BloXUmVeqBuBv033ax2wqnUC4ET3AWm8P/CysfDs2dVWfAxZ1bU&#10;RNFafQ+olUE2jvA0LkzIa+XID9vP0BLN5/tAl7HrVvs6fqkfRnYC+ngBV7XIJF3m+WiQD4ecSbKN&#10;B7f5MIXPXl87H/CLgppFoeCeyEuYisNDQKqEXM8uMVkAU5XLypikxIFRC+PZQRDVBlON9OI3L2NZ&#10;Q8k/jvopsIX4vItsLCWIvXY9RQnbTZugufS7gfJIMHjo5ig4uayo1gcR8Fl4GhzqnJYBn+jQBigX&#10;nCTOduB//u0++hOfZOWsoUEsePixF15xZr5aYvp2MBzGyU3KcPQpJ8VfWzbXFruvF0AADGjtnExi&#10;9EdzFrWH+oV2Zh6zkklYSbkLjmdxgd160M5JNZ8nJ5pVJ/DBrpyMoSPgkYl1+yK8O9GFRPQjnEdW&#10;TN6w1vnGlxbmewRdJUojzh2qJ/hpzhPTp52Mi3StJ6/XP8fsFwAAAP//AwBQSwMEFAAGAAgAAAAh&#10;AIG83d7hAAAACgEAAA8AAABkcnMvZG93bnJldi54bWxMj8tOxDAMRfdI/ENkJDaISTovmNJ0hBAw&#10;EjumPMQu05i2onGqJtOWv8esYGnfo+vjbDu5VgzYh8aThmSmQCCV3jZUaXgpHi6vQYRoyJrWE2r4&#10;xgDb/PQkM6n1Iz3jsI+V4BIKqdFQx9ilUoayRmfCzHdInH363pnIY19J25uRy10r50qtpTMN8YXa&#10;dHhXY/m1PzoNHxfV+1OYHl/HxWrR3e+G4urNFlqfn023NyAiTvEPhl99VoecnQ7+SDaIVsNaqYRR&#10;DuYbEAxsVss1iAMvErUEmWfy/wv5DwAAAP//AwBQSwECLQAUAAYACAAAACEAtoM4kv4AAADhAQAA&#10;EwAAAAAAAAAAAAAAAAAAAAAAW0NvbnRlbnRfVHlwZXNdLnhtbFBLAQItABQABgAIAAAAIQA4/SH/&#10;1gAAAJQBAAALAAAAAAAAAAAAAAAAAC8BAABfcmVscy8ucmVsc1BLAQItABQABgAIAAAAIQCj2cvm&#10;RgIAAIEEAAAOAAAAAAAAAAAAAAAAAC4CAABkcnMvZTJvRG9jLnhtbFBLAQItABQABgAIAAAAIQCB&#10;vN3e4QAAAAoBAAAPAAAAAAAAAAAAAAAAAKAEAABkcnMvZG93bnJldi54bWxQSwUGAAAAAAQABADz&#10;AAAArgUAAAAA&#10;" fillcolor="white [3201]" stroked="f" strokeweight=".5pt">
              <v:textbox>
                <w:txbxContent>
                  <w:p w14:paraId="3FAE96BE" w14:textId="77777777" w:rsidR="001A72CC" w:rsidRDefault="001A72CC">
                    <w:r w:rsidRPr="001A72CC">
                      <w:t xml:space="preserve">Styrelsen for Grøn Arealomlægning </w:t>
                    </w:r>
                  </w:p>
                  <w:p w14:paraId="4AB2AFC2" w14:textId="1F3B440E" w:rsidR="001A72CC" w:rsidRDefault="001A72CC">
                    <w:r w:rsidRPr="001A72CC">
                      <w:t>og Vandmiljø</w:t>
                    </w:r>
                  </w:p>
                </w:txbxContent>
              </v:textbox>
            </v:shape>
          </w:pict>
        </mc:Fallback>
      </mc:AlternateContent>
    </w:r>
  </w:p>
  <w:p w14:paraId="2806FC30" w14:textId="6A0704A1" w:rsidR="00E7224B" w:rsidRPr="00953410" w:rsidRDefault="00E7224B" w:rsidP="001A72CC">
    <w:pPr>
      <w:pStyle w:val="DocumentName"/>
      <w:tabs>
        <w:tab w:val="clear" w:pos="9638"/>
        <w:tab w:val="right" w:pos="7230"/>
      </w:tabs>
      <w:ind w:left="5600" w:hanging="5600"/>
      <w:rPr>
        <w:caps w:val="0"/>
      </w:rPr>
    </w:pPr>
    <w:r>
      <w:rPr>
        <w:caps w:val="0"/>
      </w:rPr>
      <w:t>NOTAT</w:t>
    </w:r>
    <w:r w:rsidR="001A72CC">
      <w:rPr>
        <w:caps w:val="0"/>
      </w:rPr>
      <w:tab/>
    </w:r>
    <w:r w:rsidR="001A72CC">
      <w:rPr>
        <w:caps w:val="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10E7D" w14:textId="77777777" w:rsidR="00BB27DA" w:rsidRDefault="00BB27DA">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717D9" w14:textId="77777777" w:rsidR="000E717B" w:rsidRDefault="000E717B">
    <w:pPr>
      <w:pStyle w:val="Sidehoved"/>
    </w:pPr>
    <w:bookmarkStart w:id="1" w:name="BIT_PrimaryHeader"/>
  </w:p>
  <w:bookmarkEnd w:id="1"/>
  <w:p w14:paraId="25FAA1B2" w14:textId="77777777" w:rsidR="005A0290" w:rsidRDefault="005A0290">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88742" w14:textId="77777777" w:rsidR="00EE0137" w:rsidRPr="00E959A5" w:rsidRDefault="00EE0137" w:rsidP="00EE0137">
    <w:r w:rsidRPr="00E959A5">
      <w:rPr>
        <w:noProof/>
      </w:rPr>
      <mc:AlternateContent>
        <mc:Choice Requires="wps">
          <w:drawing>
            <wp:anchor distT="0" distB="0" distL="114300" distR="114300" simplePos="0" relativeHeight="251657216" behindDoc="0" locked="1" layoutInCell="1" allowOverlap="1" wp14:anchorId="11CC6C45" wp14:editId="6A624C16">
              <wp:simplePos x="0" y="0"/>
              <wp:positionH relativeFrom="rightMargin">
                <wp:align>right</wp:align>
              </wp:positionH>
              <wp:positionV relativeFrom="page">
                <wp:posOffset>1263015</wp:posOffset>
              </wp:positionV>
              <wp:extent cx="2016000" cy="2361600"/>
              <wp:effectExtent l="0" t="0" r="3810" b="635"/>
              <wp:wrapNone/>
              <wp:docPr id="1" name="Kolofon"/>
              <wp:cNvGraphicFramePr/>
              <a:graphic xmlns:a="http://schemas.openxmlformats.org/drawingml/2006/main">
                <a:graphicData uri="http://schemas.microsoft.com/office/word/2010/wordprocessingShape">
                  <wps:wsp>
                    <wps:cNvSpPr txBox="1"/>
                    <wps:spPr>
                      <a:xfrm>
                        <a:off x="0" y="0"/>
                        <a:ext cx="2016000" cy="236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755"/>
                          </w:tblGrid>
                          <w:tr w:rsidR="00EE0137" w14:paraId="5F3A1BAB" w14:textId="77777777">
                            <w:trPr>
                              <w:cantSplit/>
                              <w:trHeight w:val="2778"/>
                            </w:trPr>
                            <w:tc>
                              <w:tcPr>
                                <w:tcW w:w="2755" w:type="dxa"/>
                                <w:tcMar>
                                  <w:top w:w="34" w:type="dxa"/>
                                  <w:left w:w="0" w:type="dxa"/>
                                  <w:bottom w:w="28" w:type="dxa"/>
                                  <w:right w:w="0" w:type="dxa"/>
                                </w:tcMar>
                              </w:tcPr>
                              <w:p w14:paraId="0DB4B183" w14:textId="529BF64D" w:rsidR="00411D14" w:rsidRPr="003E51BD" w:rsidRDefault="00297BB2" w:rsidP="00411D14">
                                <w:pPr>
                                  <w:pStyle w:val="DocumentName"/>
                                  <w:rPr>
                                    <w:caps w:val="0"/>
                                  </w:rPr>
                                </w:pPr>
                                <w:r>
                                  <w:rPr>
                                    <w:caps w:val="0"/>
                                  </w:rPr>
                                  <w:t>Miljøvurdering og Plan</w:t>
                                </w:r>
                              </w:p>
                              <w:p w14:paraId="680A96E6" w14:textId="77777777" w:rsidR="00EE0B94" w:rsidRPr="00AA2A05" w:rsidRDefault="00BD2C02" w:rsidP="00EE0B94">
                                <w:r w:rsidRPr="00AA2A05">
                                  <w:t>J.nr. 2024 - 63244</w:t>
                                </w:r>
                              </w:p>
                              <w:p w14:paraId="794BEB1D" w14:textId="77777777" w:rsidR="00EE0B94" w:rsidRPr="007C6CB6" w:rsidRDefault="00BD2C02" w:rsidP="00EE0B94">
                                <w:r w:rsidRPr="007C6CB6">
                                  <w:t>Ref. sanfi</w:t>
                                </w:r>
                              </w:p>
                              <w:p w14:paraId="7087B783" w14:textId="2F47D412" w:rsidR="00EE0B94" w:rsidRPr="00095830" w:rsidRDefault="00BD2C02" w:rsidP="00EE0B94">
                                <w:r w:rsidRPr="007C6CB6">
                                  <w:t>Den 2</w:t>
                                </w:r>
                                <w:r w:rsidR="0076226A">
                                  <w:t>5</w:t>
                                </w:r>
                                <w:r w:rsidRPr="007C6CB6">
                                  <w:t xml:space="preserve">. </w:t>
                                </w:r>
                                <w:r w:rsidR="007C6CB6">
                                  <w:t>oktober</w:t>
                                </w:r>
                                <w:r w:rsidRPr="007C6CB6">
                                  <w:t xml:space="preserve"> 2024</w:t>
                                </w:r>
                              </w:p>
                              <w:p w14:paraId="2197FFB9" w14:textId="77777777" w:rsidR="00EE0137" w:rsidRDefault="00EE0137" w:rsidP="00EE0B94">
                                <w:pPr>
                                  <w:pStyle w:val="Kolofontekst"/>
                                </w:pPr>
                              </w:p>
                            </w:tc>
                          </w:tr>
                        </w:tbl>
                        <w:p w14:paraId="5344698E" w14:textId="77777777" w:rsidR="00EE0137" w:rsidRDefault="00EE0137" w:rsidP="00EE013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CC6C45" id="_x0000_t202" coordsize="21600,21600" o:spt="202" path="m,l,21600r21600,l21600,xe">
              <v:stroke joinstyle="miter"/>
              <v:path gradientshapeok="t" o:connecttype="rect"/>
            </v:shapetype>
            <v:shape id="_x0000_s1029" type="#_x0000_t202" style="position:absolute;margin-left:107.55pt;margin-top:99.45pt;width:158.75pt;height:185.95pt;z-index:251657216;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HmScgIAAFcFAAAOAAAAZHJzL2Uyb0RvYy54bWysVE1P3DAQvVfqf7B8LwmLuqpWZNEWRFUV&#10;AQIqzl7HZqM6Htf2brL99X12kgXRXqh6cSYzb8bz5sOnZ31r2E750JCt+PFRyZmykurGPlX8+8Pl&#10;h0+chShsLQxZVfG9Cvxs+f7daecWakYbMrXyDEFsWHSu4psY3aIogtyoVoQjcsrCqMm3IuLXPxW1&#10;Fx2it6aYleW86MjXzpNUIUB7MRj5MsfXWsl4o3VQkZmKI7eYT5/PdTqL5alYPHnhNo0c0xD/kEUr&#10;GotLD6EuRBRs65s/QrWN9BRIxyNJbUFaN1JlDmBzXL5ic78RTmUuKE5whzKF/xdWXu9uPWtq9I4z&#10;K1q06BsZ0mRTaToXFkDcO2Bi/5n6BBv1AcrEuNe+TV9wYbCjyPtDYVUfmYQS3OZlCZOEbXYyT38p&#10;TvHs7nyIXxS1LAkV9+hcLqjYXYU4QCdIus3SZWMM9GJhLOsqPj/5WGaHgwXBjU0AledgDJMoDaln&#10;Ke6NGoLcKY06ZAZJkSdQnRvPdgKzI6RUNmbyOS7QCaWRxFscR/xzVm9xHnhMN5ONB+e2seQz+1dp&#10;1z+mlNHRhEfNX/BOYuzXfR6A2dTZNdV7NNzTsC3BycsGTbkSId4Kj/VAI7Hy8QaHNoTi0yhxtiH/&#10;62/6hMfUwspZh3WrePi5FV5xZr5azHPazUnwk7CeBLttzwldwIwimyzCwUczidpT+4iXYJVugUlY&#10;ibsqHifxPA5Lj5dEqtUqg7CBTsQre+9kCp2akkbsoX8U3o1zGDHC1zQtoli8GscBmzwtrbaRdJNn&#10;NdV1qOJYb2xvnvbxpUnPw8v/jHp+D5e/AQAA//8DAFBLAwQUAAYACAAAACEA5hrhcd4AAAAIAQAA&#10;DwAAAGRycy9kb3ducmV2LnhtbEyPS0/DMBCE70j8B2uRuFE7oNI0xKkQjxvPtkhwc+IlifAjsp00&#10;/HuWExxnZzXzTbmZrWEThth7JyFbCGDoGq9710rY7+7PcmAxKaeV8Q4lfGOETXV8VKpC+4N7xWmb&#10;WkYhLhZKQpfSUHAemw6tigs/oCPv0werEsnQch3UgcKt4edCXHKrekcNnRrwpsPmaztaCeY9hoda&#10;pI/ptn1ML898fLvLnqQ8PZmvr4AlnNPfM/ziEzpUxFT70enIjAQakui6ztfAyL7IVktgtYTlSuTA&#10;q5L/H1D9AAAA//8DAFBLAQItABQABgAIAAAAIQC2gziS/gAAAOEBAAATAAAAAAAAAAAAAAAAAAAA&#10;AABbQ29udGVudF9UeXBlc10ueG1sUEsBAi0AFAAGAAgAAAAhADj9If/WAAAAlAEAAAsAAAAAAAAA&#10;AAAAAAAALwEAAF9yZWxzLy5yZWxzUEsBAi0AFAAGAAgAAAAhAJKweZJyAgAAVwUAAA4AAAAAAAAA&#10;AAAAAAAALgIAAGRycy9lMm9Eb2MueG1sUEsBAi0AFAAGAAgAAAAhAOYa4XHeAAAACAEAAA8AAAAA&#10;AAAAAAAAAAAAzAQAAGRycy9kb3ducmV2LnhtbFBLBQYAAAAABAAEAPMAAADXBQ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755"/>
                    </w:tblGrid>
                    <w:tr w:rsidR="00EE0137" w14:paraId="5F3A1BAB" w14:textId="77777777">
                      <w:trPr>
                        <w:cantSplit/>
                        <w:trHeight w:val="2778"/>
                      </w:trPr>
                      <w:tc>
                        <w:tcPr>
                          <w:tcW w:w="2755" w:type="dxa"/>
                          <w:tcMar>
                            <w:top w:w="34" w:type="dxa"/>
                            <w:left w:w="0" w:type="dxa"/>
                            <w:bottom w:w="28" w:type="dxa"/>
                            <w:right w:w="0" w:type="dxa"/>
                          </w:tcMar>
                        </w:tcPr>
                        <w:p w14:paraId="0DB4B183" w14:textId="529BF64D" w:rsidR="00411D14" w:rsidRPr="003E51BD" w:rsidRDefault="00297BB2" w:rsidP="00411D14">
                          <w:pPr>
                            <w:pStyle w:val="DocumentName"/>
                            <w:rPr>
                              <w:caps w:val="0"/>
                            </w:rPr>
                          </w:pPr>
                          <w:r>
                            <w:rPr>
                              <w:caps w:val="0"/>
                            </w:rPr>
                            <w:t>Miljøvurdering og Plan</w:t>
                          </w:r>
                        </w:p>
                        <w:p w14:paraId="680A96E6" w14:textId="77777777" w:rsidR="00EE0B94" w:rsidRPr="00AA2A05" w:rsidRDefault="00BD2C02" w:rsidP="00EE0B94">
                          <w:r w:rsidRPr="00AA2A05">
                            <w:t>J.nr. 2024 - 63244</w:t>
                          </w:r>
                        </w:p>
                        <w:p w14:paraId="794BEB1D" w14:textId="77777777" w:rsidR="00EE0B94" w:rsidRPr="007C6CB6" w:rsidRDefault="00BD2C02" w:rsidP="00EE0B94">
                          <w:r w:rsidRPr="007C6CB6">
                            <w:t>Ref. sanfi</w:t>
                          </w:r>
                        </w:p>
                        <w:p w14:paraId="7087B783" w14:textId="2F47D412" w:rsidR="00EE0B94" w:rsidRPr="00095830" w:rsidRDefault="00BD2C02" w:rsidP="00EE0B94">
                          <w:r w:rsidRPr="007C6CB6">
                            <w:t>Den 2</w:t>
                          </w:r>
                          <w:r w:rsidR="0076226A">
                            <w:t>5</w:t>
                          </w:r>
                          <w:r w:rsidRPr="007C6CB6">
                            <w:t xml:space="preserve">. </w:t>
                          </w:r>
                          <w:r w:rsidR="007C6CB6">
                            <w:t>oktober</w:t>
                          </w:r>
                          <w:r w:rsidRPr="007C6CB6">
                            <w:t xml:space="preserve"> 2024</w:t>
                          </w:r>
                        </w:p>
                        <w:p w14:paraId="2197FFB9" w14:textId="77777777" w:rsidR="00EE0137" w:rsidRDefault="00EE0137" w:rsidP="00EE0B94">
                          <w:pPr>
                            <w:pStyle w:val="Kolofontekst"/>
                          </w:pPr>
                        </w:p>
                      </w:tc>
                    </w:tr>
                  </w:tbl>
                  <w:p w14:paraId="5344698E" w14:textId="77777777" w:rsidR="00EE0137" w:rsidRDefault="00EE0137" w:rsidP="00EE0137"/>
                </w:txbxContent>
              </v:textbox>
              <w10:wrap anchorx="margin" anchory="page"/>
              <w10:anchorlock/>
            </v:shape>
          </w:pict>
        </mc:Fallback>
      </mc:AlternateContent>
    </w:r>
  </w:p>
  <w:bookmarkStart w:id="2" w:name="BIT_DocumentName"/>
  <w:bookmarkEnd w:id="2"/>
  <w:p w14:paraId="4499987D" w14:textId="4A0B8702" w:rsidR="00C02650" w:rsidRDefault="00297BB2" w:rsidP="007E1CD7">
    <w:pPr>
      <w:pStyle w:val="DocumentName"/>
      <w:tabs>
        <w:tab w:val="clear" w:pos="9638"/>
        <w:tab w:val="right" w:pos="7230"/>
      </w:tabs>
      <w:rPr>
        <w:caps w:val="0"/>
      </w:rPr>
    </w:pPr>
    <w:r w:rsidRPr="00297BB2">
      <w:rPr>
        <w:caps w:val="0"/>
        <w:noProof/>
      </w:rPr>
      <mc:AlternateContent>
        <mc:Choice Requires="wps">
          <w:drawing>
            <wp:anchor distT="45720" distB="45720" distL="114300" distR="114300" simplePos="0" relativeHeight="251663360" behindDoc="0" locked="0" layoutInCell="1" allowOverlap="1" wp14:anchorId="75A6B49D" wp14:editId="275816ED">
              <wp:simplePos x="0" y="0"/>
              <wp:positionH relativeFrom="column">
                <wp:posOffset>3999660</wp:posOffset>
              </wp:positionH>
              <wp:positionV relativeFrom="paragraph">
                <wp:posOffset>3175</wp:posOffset>
              </wp:positionV>
              <wp:extent cx="2279650" cy="1404620"/>
              <wp:effectExtent l="0" t="0" r="6350" b="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1404620"/>
                      </a:xfrm>
                      <a:prstGeom prst="rect">
                        <a:avLst/>
                      </a:prstGeom>
                      <a:solidFill>
                        <a:srgbClr val="FFFFFF"/>
                      </a:solidFill>
                      <a:ln w="9525">
                        <a:noFill/>
                        <a:miter lim="800000"/>
                        <a:headEnd/>
                        <a:tailEnd/>
                      </a:ln>
                    </wps:spPr>
                    <wps:txbx>
                      <w:txbxContent>
                        <w:p w14:paraId="14BCC8B9" w14:textId="77777777" w:rsidR="00297BB2" w:rsidRDefault="00297BB2" w:rsidP="00297BB2">
                          <w:r w:rsidRPr="001A72CC">
                            <w:t xml:space="preserve">Styrelsen for Grøn Arealomlægning </w:t>
                          </w:r>
                        </w:p>
                        <w:p w14:paraId="296D19A1" w14:textId="77777777" w:rsidR="00297BB2" w:rsidRDefault="00297BB2" w:rsidP="00297BB2">
                          <w:r w:rsidRPr="001A72CC">
                            <w:t>og Vandmiljø</w:t>
                          </w:r>
                        </w:p>
                        <w:p w14:paraId="03C36119" w14:textId="2EBDDA1F" w:rsidR="00297BB2" w:rsidRDefault="00297BB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A6B49D" id="Tekstfelt 2" o:spid="_x0000_s1030" type="#_x0000_t202" style="position:absolute;margin-left:314.95pt;margin-top:.25pt;width:179.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06JwIAACYEAAAOAAAAZHJzL2Uyb0RvYy54bWysU9uO2yAQfa/Uf0C8N3bcJLux4qy22aaq&#10;tL1Iu/0AjHGMFhgKJHb69R1wkkbbt6o8IGCGw8w5h9XdoBU5COclmIpOJzklwnBopNlV9Mfz9t0t&#10;JT4w0zAFRlT0KDy9W799s+ptKQroQDXCEQQxvuxtRbsQbJllnndCMz8BKwwGW3CaBdy6XdY41iO6&#10;VlmR54usB9dYB1x4j6cPY5CuE37bCh6+ta0XgaiKYm0hzS7NdZyz9YqVO8dsJ/mpDPYPVWgmDT56&#10;gXpggZG9k39BackdeGjDhIPOoG0lF6kH7Gaav+rmqWNWpF6QHG8vNPn/B8u/Hr47IpuKFtMbSgzT&#10;KNKzePGhFSqQIhLUW19i3pPFzDB8gAGFTs16+wj8xRMDm46Znbh3DvpOsAYLnMab2dXVEcdHkLr/&#10;Ag2+w/YBEtDQOh3ZQz4IoqNQx4s4YgiE42FR3CwXcwxxjE1n+WxRJPkyVp6vW+fDJwGaxEVFHaqf&#10;4Nnh0YdYDivPKfE1D0o2W6lU2rhdvVGOHBg6ZZtG6uBVmjKkr+hyXswTsoF4P5lIy4BOVlJX9DaP&#10;Y/RWpOOjaVJKYFKNa6xEmRM/kZKRnDDUQ9Li/Zn2GpojEuZgNC5+NFx04H5R0qNpK+p/7pkTlKjP&#10;BklfTmez6PK0mc1vkCHiriP1dYQZjlAVDZSMy01IPyPRYe9RnK1MtEUVx0pOJaMZE5unjxPdfr1P&#10;WX++9/o3AAAA//8DAFBLAwQUAAYACAAAACEA/57dw90AAAAIAQAADwAAAGRycy9kb3ducmV2Lnht&#10;bEyPMU/DMBSEdyT+g/WQ2KjTSC1JyEtVUbEwIFGQYHRjJ46wny3bTcO/x0wwnu509127W6xhswpx&#10;coSwXhXAFPVOTjQivL893VXAYhIkhXGkEL5VhF13fdWKRroLvar5mEaWSyg2AkGn5BvOY6+VFXHl&#10;vKLsDS5YkbIMI5dBXHK5Nbwsii23YqK8oIVXj1r1X8ezRfiwepKH8PI5SDMfnof9xi/BI97eLPsH&#10;YEkt6S8Mv/gZHbrMdHJnkpEZhG1Z1zmKsAGW7bqqsjwhlOX6HnjX8v8Huh8AAAD//wMAUEsBAi0A&#10;FAAGAAgAAAAhALaDOJL+AAAA4QEAABMAAAAAAAAAAAAAAAAAAAAAAFtDb250ZW50X1R5cGVzXS54&#10;bWxQSwECLQAUAAYACAAAACEAOP0h/9YAAACUAQAACwAAAAAAAAAAAAAAAAAvAQAAX3JlbHMvLnJl&#10;bHNQSwECLQAUAAYACAAAACEAa3I9OicCAAAmBAAADgAAAAAAAAAAAAAAAAAuAgAAZHJzL2Uyb0Rv&#10;Yy54bWxQSwECLQAUAAYACAAAACEA/57dw90AAAAIAQAADwAAAAAAAAAAAAAAAACBBAAAZHJzL2Rv&#10;d25yZXYueG1sUEsFBgAAAAAEAAQA8wAAAIsFAAAAAA==&#10;" stroked="f">
              <v:textbox style="mso-fit-shape-to-text:t">
                <w:txbxContent>
                  <w:p w14:paraId="14BCC8B9" w14:textId="77777777" w:rsidR="00297BB2" w:rsidRDefault="00297BB2" w:rsidP="00297BB2">
                    <w:r w:rsidRPr="001A72CC">
                      <w:t xml:space="preserve">Styrelsen for Grøn Arealomlægning </w:t>
                    </w:r>
                  </w:p>
                  <w:p w14:paraId="296D19A1" w14:textId="77777777" w:rsidR="00297BB2" w:rsidRDefault="00297BB2" w:rsidP="00297BB2">
                    <w:r w:rsidRPr="001A72CC">
                      <w:t>og Vandmiljø</w:t>
                    </w:r>
                  </w:p>
                  <w:p w14:paraId="03C36119" w14:textId="2EBDDA1F" w:rsidR="00297BB2" w:rsidRDefault="00297BB2"/>
                </w:txbxContent>
              </v:textbox>
              <w10:wrap type="square"/>
            </v:shape>
          </w:pict>
        </mc:Fallback>
      </mc:AlternateContent>
    </w:r>
  </w:p>
  <w:p w14:paraId="537BBF03" w14:textId="6C747077" w:rsidR="00BB27DA" w:rsidRPr="00953410" w:rsidRDefault="00BB27DA" w:rsidP="007E1CD7">
    <w:pPr>
      <w:pStyle w:val="DocumentName"/>
      <w:tabs>
        <w:tab w:val="clear" w:pos="9638"/>
        <w:tab w:val="right" w:pos="7230"/>
      </w:tabs>
      <w:rPr>
        <w:caps w:val="0"/>
      </w:rPr>
    </w:pPr>
    <w:r>
      <w:rPr>
        <w:caps w:val="0"/>
      </w:rPr>
      <w:t>NOTAT</w:t>
    </w:r>
    <w:r w:rsidR="00FF753F">
      <w:rPr>
        <w:caps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03D76E93"/>
    <w:multiLevelType w:val="hybridMultilevel"/>
    <w:tmpl w:val="0682E95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004F5A"/>
    <w:multiLevelType w:val="hybridMultilevel"/>
    <w:tmpl w:val="7376D4D4"/>
    <w:lvl w:ilvl="0" w:tplc="77DE13D6">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0FBA0C24"/>
    <w:multiLevelType w:val="hybridMultilevel"/>
    <w:tmpl w:val="E82C76F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14023688"/>
    <w:multiLevelType w:val="hybridMultilevel"/>
    <w:tmpl w:val="96BA03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142C1D32"/>
    <w:multiLevelType w:val="hybridMultilevel"/>
    <w:tmpl w:val="868E5CDC"/>
    <w:lvl w:ilvl="0" w:tplc="CBBEC54C">
      <w:start w:val="31"/>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6" w15:restartNumberingAfterBreak="0">
    <w:nsid w:val="222B030D"/>
    <w:multiLevelType w:val="hybridMultilevel"/>
    <w:tmpl w:val="14BE13B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284B0EFB"/>
    <w:multiLevelType w:val="hybridMultilevel"/>
    <w:tmpl w:val="9134062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29EF64BE"/>
    <w:multiLevelType w:val="hybridMultilevel"/>
    <w:tmpl w:val="300494F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20" w15:restartNumberingAfterBreak="0">
    <w:nsid w:val="31C348E9"/>
    <w:multiLevelType w:val="hybridMultilevel"/>
    <w:tmpl w:val="5B96FC42"/>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1"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17D5CB8"/>
    <w:multiLevelType w:val="hybridMultilevel"/>
    <w:tmpl w:val="46BAA33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5876FF0"/>
    <w:multiLevelType w:val="hybridMultilevel"/>
    <w:tmpl w:val="DDCA36E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B7E2C5C"/>
    <w:multiLevelType w:val="hybridMultilevel"/>
    <w:tmpl w:val="581A424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9732D14"/>
    <w:multiLevelType w:val="hybridMultilevel"/>
    <w:tmpl w:val="F2EABFEE"/>
    <w:lvl w:ilvl="0" w:tplc="618C9DB6">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8F77F39"/>
    <w:multiLevelType w:val="hybridMultilevel"/>
    <w:tmpl w:val="1CD21C8C"/>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15"/>
  </w:num>
  <w:num w:numId="2">
    <w:abstractNumId w:val="7"/>
  </w:num>
  <w:num w:numId="3">
    <w:abstractNumId w:val="6"/>
  </w:num>
  <w:num w:numId="4">
    <w:abstractNumId w:val="5"/>
  </w:num>
  <w:num w:numId="5">
    <w:abstractNumId w:val="4"/>
  </w:num>
  <w:num w:numId="6">
    <w:abstractNumId w:val="19"/>
  </w:num>
  <w:num w:numId="7">
    <w:abstractNumId w:val="3"/>
  </w:num>
  <w:num w:numId="8">
    <w:abstractNumId w:val="2"/>
  </w:num>
  <w:num w:numId="9">
    <w:abstractNumId w:val="1"/>
  </w:num>
  <w:num w:numId="10">
    <w:abstractNumId w:val="0"/>
  </w:num>
  <w:num w:numId="11">
    <w:abstractNumId w:val="10"/>
  </w:num>
  <w:num w:numId="12">
    <w:abstractNumId w:val="25"/>
  </w:num>
  <w:num w:numId="13">
    <w:abstractNumId w:val="21"/>
  </w:num>
  <w:num w:numId="14">
    <w:abstractNumId w:val="8"/>
  </w:num>
  <w:num w:numId="15">
    <w:abstractNumId w:val="11"/>
  </w:num>
  <w:num w:numId="16">
    <w:abstractNumId w:val="26"/>
  </w:num>
  <w:num w:numId="17">
    <w:abstractNumId w:val="14"/>
  </w:num>
  <w:num w:numId="18">
    <w:abstractNumId w:val="16"/>
  </w:num>
  <w:num w:numId="19">
    <w:abstractNumId w:val="17"/>
  </w:num>
  <w:num w:numId="20">
    <w:abstractNumId w:val="22"/>
  </w:num>
  <w:num w:numId="21">
    <w:abstractNumId w:val="20"/>
  </w:num>
  <w:num w:numId="22">
    <w:abstractNumId w:val="13"/>
  </w:num>
  <w:num w:numId="23">
    <w:abstractNumId w:val="18"/>
  </w:num>
  <w:num w:numId="24">
    <w:abstractNumId w:val="9"/>
  </w:num>
  <w:num w:numId="25">
    <w:abstractNumId w:val="23"/>
  </w:num>
  <w:num w:numId="26">
    <w:abstractNumId w:val="12"/>
  </w:num>
  <w:num w:numId="27">
    <w:abstractNumId w:val="24"/>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revisionView w:inkAnnotations="0"/>
  <w:trackRevisions/>
  <w:documentProtection w:edit="forms" w:enforcement="0"/>
  <w:defaultTabStop w:val="1304"/>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E48"/>
    <w:rsid w:val="0000051C"/>
    <w:rsid w:val="00002EA0"/>
    <w:rsid w:val="00003636"/>
    <w:rsid w:val="00005E9F"/>
    <w:rsid w:val="00005FAA"/>
    <w:rsid w:val="00013545"/>
    <w:rsid w:val="0001457C"/>
    <w:rsid w:val="0001528D"/>
    <w:rsid w:val="000166A0"/>
    <w:rsid w:val="000249E9"/>
    <w:rsid w:val="00030051"/>
    <w:rsid w:val="00033457"/>
    <w:rsid w:val="0003562D"/>
    <w:rsid w:val="00036B87"/>
    <w:rsid w:val="00037458"/>
    <w:rsid w:val="000376A4"/>
    <w:rsid w:val="00037E7E"/>
    <w:rsid w:val="00050243"/>
    <w:rsid w:val="000505EF"/>
    <w:rsid w:val="00052F8C"/>
    <w:rsid w:val="00060BC5"/>
    <w:rsid w:val="00061FEC"/>
    <w:rsid w:val="000647F2"/>
    <w:rsid w:val="00066A0C"/>
    <w:rsid w:val="00070BA1"/>
    <w:rsid w:val="000713DD"/>
    <w:rsid w:val="00073466"/>
    <w:rsid w:val="00074F1A"/>
    <w:rsid w:val="0007555F"/>
    <w:rsid w:val="000758FD"/>
    <w:rsid w:val="00080982"/>
    <w:rsid w:val="00082311"/>
    <w:rsid w:val="00082404"/>
    <w:rsid w:val="000825EC"/>
    <w:rsid w:val="000842E6"/>
    <w:rsid w:val="000846D1"/>
    <w:rsid w:val="00084CBB"/>
    <w:rsid w:val="00092D0C"/>
    <w:rsid w:val="00094A80"/>
    <w:rsid w:val="00096AA1"/>
    <w:rsid w:val="000A1C92"/>
    <w:rsid w:val="000A26F5"/>
    <w:rsid w:val="000A7219"/>
    <w:rsid w:val="000B0251"/>
    <w:rsid w:val="000B1A42"/>
    <w:rsid w:val="000B20AA"/>
    <w:rsid w:val="000B26E7"/>
    <w:rsid w:val="000B2E5E"/>
    <w:rsid w:val="000B39B5"/>
    <w:rsid w:val="000B5461"/>
    <w:rsid w:val="000B5AC2"/>
    <w:rsid w:val="000B7810"/>
    <w:rsid w:val="000C0294"/>
    <w:rsid w:val="000C0594"/>
    <w:rsid w:val="000C13E6"/>
    <w:rsid w:val="000C3D52"/>
    <w:rsid w:val="000C44CD"/>
    <w:rsid w:val="000C45B7"/>
    <w:rsid w:val="000C62D3"/>
    <w:rsid w:val="000C7CCF"/>
    <w:rsid w:val="000D0F4C"/>
    <w:rsid w:val="000D1CF4"/>
    <w:rsid w:val="000D521F"/>
    <w:rsid w:val="000D5FBF"/>
    <w:rsid w:val="000D600E"/>
    <w:rsid w:val="000E179B"/>
    <w:rsid w:val="000E3992"/>
    <w:rsid w:val="000E717B"/>
    <w:rsid w:val="000F0793"/>
    <w:rsid w:val="000F0B81"/>
    <w:rsid w:val="0010037D"/>
    <w:rsid w:val="00102017"/>
    <w:rsid w:val="00103018"/>
    <w:rsid w:val="00104275"/>
    <w:rsid w:val="00104CB1"/>
    <w:rsid w:val="0010528D"/>
    <w:rsid w:val="001062D0"/>
    <w:rsid w:val="00114DE6"/>
    <w:rsid w:val="001165EB"/>
    <w:rsid w:val="00116959"/>
    <w:rsid w:val="001210A9"/>
    <w:rsid w:val="0012160D"/>
    <w:rsid w:val="001234D8"/>
    <w:rsid w:val="001244BF"/>
    <w:rsid w:val="00124738"/>
    <w:rsid w:val="001250D4"/>
    <w:rsid w:val="00130CF6"/>
    <w:rsid w:val="001320C1"/>
    <w:rsid w:val="001354CC"/>
    <w:rsid w:val="001410C0"/>
    <w:rsid w:val="0014150F"/>
    <w:rsid w:val="00143867"/>
    <w:rsid w:val="00144670"/>
    <w:rsid w:val="0014616C"/>
    <w:rsid w:val="00150899"/>
    <w:rsid w:val="00152683"/>
    <w:rsid w:val="00152CB8"/>
    <w:rsid w:val="00154300"/>
    <w:rsid w:val="00156908"/>
    <w:rsid w:val="00157105"/>
    <w:rsid w:val="00160721"/>
    <w:rsid w:val="001613A4"/>
    <w:rsid w:val="00165DAB"/>
    <w:rsid w:val="001665F4"/>
    <w:rsid w:val="0017132E"/>
    <w:rsid w:val="001723E7"/>
    <w:rsid w:val="001743E7"/>
    <w:rsid w:val="001750FB"/>
    <w:rsid w:val="00180C1A"/>
    <w:rsid w:val="0018769C"/>
    <w:rsid w:val="00191860"/>
    <w:rsid w:val="00192AF5"/>
    <w:rsid w:val="00193D54"/>
    <w:rsid w:val="001A43C2"/>
    <w:rsid w:val="001A4D56"/>
    <w:rsid w:val="001A58BF"/>
    <w:rsid w:val="001A6AA2"/>
    <w:rsid w:val="001A6CB5"/>
    <w:rsid w:val="001A7272"/>
    <w:rsid w:val="001A72CC"/>
    <w:rsid w:val="001A7E4B"/>
    <w:rsid w:val="001B3714"/>
    <w:rsid w:val="001B3F10"/>
    <w:rsid w:val="001B72A9"/>
    <w:rsid w:val="001B7D59"/>
    <w:rsid w:val="001C12B6"/>
    <w:rsid w:val="001C2544"/>
    <w:rsid w:val="001C417D"/>
    <w:rsid w:val="001C4328"/>
    <w:rsid w:val="001C6975"/>
    <w:rsid w:val="001C6AF7"/>
    <w:rsid w:val="001C7630"/>
    <w:rsid w:val="001D00E2"/>
    <w:rsid w:val="001D1196"/>
    <w:rsid w:val="001D12E9"/>
    <w:rsid w:val="001D19D8"/>
    <w:rsid w:val="001E38EF"/>
    <w:rsid w:val="001E4A4E"/>
    <w:rsid w:val="001E63D8"/>
    <w:rsid w:val="001E7F16"/>
    <w:rsid w:val="001F2A7F"/>
    <w:rsid w:val="001F3A47"/>
    <w:rsid w:val="001F3DFB"/>
    <w:rsid w:val="001F763E"/>
    <w:rsid w:val="00200B86"/>
    <w:rsid w:val="00200FB7"/>
    <w:rsid w:val="0020134B"/>
    <w:rsid w:val="00202855"/>
    <w:rsid w:val="0020402C"/>
    <w:rsid w:val="002044E3"/>
    <w:rsid w:val="00204BF4"/>
    <w:rsid w:val="00205264"/>
    <w:rsid w:val="00210DB1"/>
    <w:rsid w:val="00211AC9"/>
    <w:rsid w:val="00212497"/>
    <w:rsid w:val="00213C68"/>
    <w:rsid w:val="00214D35"/>
    <w:rsid w:val="002159F0"/>
    <w:rsid w:val="002239C6"/>
    <w:rsid w:val="00225534"/>
    <w:rsid w:val="00235C1F"/>
    <w:rsid w:val="002366E2"/>
    <w:rsid w:val="00244EE4"/>
    <w:rsid w:val="00254C61"/>
    <w:rsid w:val="002629A8"/>
    <w:rsid w:val="002639DB"/>
    <w:rsid w:val="00264240"/>
    <w:rsid w:val="002654F9"/>
    <w:rsid w:val="00267F76"/>
    <w:rsid w:val="00267FA7"/>
    <w:rsid w:val="0027546B"/>
    <w:rsid w:val="00283D52"/>
    <w:rsid w:val="00283D7E"/>
    <w:rsid w:val="00284176"/>
    <w:rsid w:val="00284AD7"/>
    <w:rsid w:val="00293240"/>
    <w:rsid w:val="002933E6"/>
    <w:rsid w:val="0029629D"/>
    <w:rsid w:val="00297BB2"/>
    <w:rsid w:val="002A2467"/>
    <w:rsid w:val="002A29B1"/>
    <w:rsid w:val="002A2A89"/>
    <w:rsid w:val="002A7860"/>
    <w:rsid w:val="002B13B5"/>
    <w:rsid w:val="002B5F02"/>
    <w:rsid w:val="002B7118"/>
    <w:rsid w:val="002B78CA"/>
    <w:rsid w:val="002B7B8C"/>
    <w:rsid w:val="002C042D"/>
    <w:rsid w:val="002C0572"/>
    <w:rsid w:val="002C4595"/>
    <w:rsid w:val="002C4D00"/>
    <w:rsid w:val="002D00C9"/>
    <w:rsid w:val="002D03C2"/>
    <w:rsid w:val="002D268E"/>
    <w:rsid w:val="002D314E"/>
    <w:rsid w:val="002D4D8E"/>
    <w:rsid w:val="002D7F0F"/>
    <w:rsid w:val="002E34A9"/>
    <w:rsid w:val="002F177C"/>
    <w:rsid w:val="002F7133"/>
    <w:rsid w:val="003001A2"/>
    <w:rsid w:val="003005AD"/>
    <w:rsid w:val="003033ED"/>
    <w:rsid w:val="00310C3C"/>
    <w:rsid w:val="00313642"/>
    <w:rsid w:val="00314DDB"/>
    <w:rsid w:val="00315AC9"/>
    <w:rsid w:val="00320951"/>
    <w:rsid w:val="003209AA"/>
    <w:rsid w:val="00322BBE"/>
    <w:rsid w:val="003249E5"/>
    <w:rsid w:val="00326ED5"/>
    <w:rsid w:val="003301BF"/>
    <w:rsid w:val="00331970"/>
    <w:rsid w:val="00334562"/>
    <w:rsid w:val="00341FCF"/>
    <w:rsid w:val="00343A37"/>
    <w:rsid w:val="00345FA9"/>
    <w:rsid w:val="00350582"/>
    <w:rsid w:val="00353B4E"/>
    <w:rsid w:val="003558D9"/>
    <w:rsid w:val="003568B6"/>
    <w:rsid w:val="00362EAC"/>
    <w:rsid w:val="003636D3"/>
    <w:rsid w:val="00363ADC"/>
    <w:rsid w:val="00365BC4"/>
    <w:rsid w:val="00365F37"/>
    <w:rsid w:val="00380FE4"/>
    <w:rsid w:val="00381300"/>
    <w:rsid w:val="003819FF"/>
    <w:rsid w:val="00385C06"/>
    <w:rsid w:val="00386D0C"/>
    <w:rsid w:val="00391F5C"/>
    <w:rsid w:val="003941F5"/>
    <w:rsid w:val="003A004A"/>
    <w:rsid w:val="003A3350"/>
    <w:rsid w:val="003A3369"/>
    <w:rsid w:val="003A41A2"/>
    <w:rsid w:val="003A44A9"/>
    <w:rsid w:val="003A6F63"/>
    <w:rsid w:val="003B31FF"/>
    <w:rsid w:val="003B6C74"/>
    <w:rsid w:val="003C23DE"/>
    <w:rsid w:val="003C67E6"/>
    <w:rsid w:val="003D2899"/>
    <w:rsid w:val="003D3CB2"/>
    <w:rsid w:val="003D4BFE"/>
    <w:rsid w:val="003D518E"/>
    <w:rsid w:val="003D6F75"/>
    <w:rsid w:val="003E06B4"/>
    <w:rsid w:val="003E09D1"/>
    <w:rsid w:val="003E0FA0"/>
    <w:rsid w:val="003E1377"/>
    <w:rsid w:val="003E3617"/>
    <w:rsid w:val="003E51BD"/>
    <w:rsid w:val="003E5E1C"/>
    <w:rsid w:val="003E61E3"/>
    <w:rsid w:val="003F0D75"/>
    <w:rsid w:val="003F32C8"/>
    <w:rsid w:val="003F4C03"/>
    <w:rsid w:val="00404BFA"/>
    <w:rsid w:val="0040506D"/>
    <w:rsid w:val="00405999"/>
    <w:rsid w:val="00406784"/>
    <w:rsid w:val="00406AF1"/>
    <w:rsid w:val="00407A11"/>
    <w:rsid w:val="00407C2F"/>
    <w:rsid w:val="00410A83"/>
    <w:rsid w:val="00411D14"/>
    <w:rsid w:val="0041385B"/>
    <w:rsid w:val="00414BA2"/>
    <w:rsid w:val="00414DF2"/>
    <w:rsid w:val="00415A13"/>
    <w:rsid w:val="00415BC0"/>
    <w:rsid w:val="004172F9"/>
    <w:rsid w:val="004208E6"/>
    <w:rsid w:val="00422D88"/>
    <w:rsid w:val="004232F9"/>
    <w:rsid w:val="00430434"/>
    <w:rsid w:val="00433A1E"/>
    <w:rsid w:val="004340BC"/>
    <w:rsid w:val="00440668"/>
    <w:rsid w:val="00442162"/>
    <w:rsid w:val="004421D7"/>
    <w:rsid w:val="00447B83"/>
    <w:rsid w:val="00447B8E"/>
    <w:rsid w:val="00450475"/>
    <w:rsid w:val="00452445"/>
    <w:rsid w:val="00457882"/>
    <w:rsid w:val="00460B5A"/>
    <w:rsid w:val="0046600E"/>
    <w:rsid w:val="00467E79"/>
    <w:rsid w:val="00471C83"/>
    <w:rsid w:val="00474CD1"/>
    <w:rsid w:val="00476722"/>
    <w:rsid w:val="00481EEB"/>
    <w:rsid w:val="004830C6"/>
    <w:rsid w:val="0048414C"/>
    <w:rsid w:val="0048667B"/>
    <w:rsid w:val="00486F50"/>
    <w:rsid w:val="00493996"/>
    <w:rsid w:val="00495993"/>
    <w:rsid w:val="004A3AAA"/>
    <w:rsid w:val="004A4315"/>
    <w:rsid w:val="004A585C"/>
    <w:rsid w:val="004A5FE0"/>
    <w:rsid w:val="004B5995"/>
    <w:rsid w:val="004B5AC3"/>
    <w:rsid w:val="004B6745"/>
    <w:rsid w:val="004B6A8B"/>
    <w:rsid w:val="004B79D7"/>
    <w:rsid w:val="004C0742"/>
    <w:rsid w:val="004C237E"/>
    <w:rsid w:val="004C491E"/>
    <w:rsid w:val="004C5587"/>
    <w:rsid w:val="004C57EF"/>
    <w:rsid w:val="004C5932"/>
    <w:rsid w:val="004C63FE"/>
    <w:rsid w:val="004D23C9"/>
    <w:rsid w:val="004D6645"/>
    <w:rsid w:val="004E33EF"/>
    <w:rsid w:val="004E562B"/>
    <w:rsid w:val="004E642A"/>
    <w:rsid w:val="004E6E8D"/>
    <w:rsid w:val="004E7C82"/>
    <w:rsid w:val="004F0818"/>
    <w:rsid w:val="004F7C92"/>
    <w:rsid w:val="005009DC"/>
    <w:rsid w:val="00500EFC"/>
    <w:rsid w:val="00501E2E"/>
    <w:rsid w:val="0051781E"/>
    <w:rsid w:val="00520971"/>
    <w:rsid w:val="00521605"/>
    <w:rsid w:val="005267CB"/>
    <w:rsid w:val="00530DAB"/>
    <w:rsid w:val="00531869"/>
    <w:rsid w:val="00535B7D"/>
    <w:rsid w:val="00537EB1"/>
    <w:rsid w:val="00541E93"/>
    <w:rsid w:val="00543643"/>
    <w:rsid w:val="00544426"/>
    <w:rsid w:val="005520E2"/>
    <w:rsid w:val="005543C3"/>
    <w:rsid w:val="00554FAA"/>
    <w:rsid w:val="005630B4"/>
    <w:rsid w:val="00563773"/>
    <w:rsid w:val="00563EBD"/>
    <w:rsid w:val="00564054"/>
    <w:rsid w:val="005650F2"/>
    <w:rsid w:val="005672CB"/>
    <w:rsid w:val="00570889"/>
    <w:rsid w:val="00572167"/>
    <w:rsid w:val="00576B90"/>
    <w:rsid w:val="0058155D"/>
    <w:rsid w:val="005818D5"/>
    <w:rsid w:val="00590A5B"/>
    <w:rsid w:val="00590C13"/>
    <w:rsid w:val="0059175F"/>
    <w:rsid w:val="00592D99"/>
    <w:rsid w:val="005937F4"/>
    <w:rsid w:val="0059560E"/>
    <w:rsid w:val="00596C0F"/>
    <w:rsid w:val="00596C25"/>
    <w:rsid w:val="00596EDF"/>
    <w:rsid w:val="005A01E1"/>
    <w:rsid w:val="005A0290"/>
    <w:rsid w:val="005A1F29"/>
    <w:rsid w:val="005A29CB"/>
    <w:rsid w:val="005A3AEE"/>
    <w:rsid w:val="005A50B9"/>
    <w:rsid w:val="005B05F2"/>
    <w:rsid w:val="005C0F68"/>
    <w:rsid w:val="005C51A1"/>
    <w:rsid w:val="005D113C"/>
    <w:rsid w:val="005D1301"/>
    <w:rsid w:val="005D138C"/>
    <w:rsid w:val="005D21A4"/>
    <w:rsid w:val="005D2347"/>
    <w:rsid w:val="005D2B26"/>
    <w:rsid w:val="005D3CF2"/>
    <w:rsid w:val="005D543F"/>
    <w:rsid w:val="005D63A5"/>
    <w:rsid w:val="005D7152"/>
    <w:rsid w:val="005E352B"/>
    <w:rsid w:val="005E4484"/>
    <w:rsid w:val="005E77EF"/>
    <w:rsid w:val="005F172E"/>
    <w:rsid w:val="005F1ECF"/>
    <w:rsid w:val="005F3391"/>
    <w:rsid w:val="005F4C83"/>
    <w:rsid w:val="005F61FB"/>
    <w:rsid w:val="00602D58"/>
    <w:rsid w:val="00604DC5"/>
    <w:rsid w:val="006067F0"/>
    <w:rsid w:val="006079D5"/>
    <w:rsid w:val="00610541"/>
    <w:rsid w:val="00610A43"/>
    <w:rsid w:val="00610DC4"/>
    <w:rsid w:val="00612296"/>
    <w:rsid w:val="00612975"/>
    <w:rsid w:val="006161E8"/>
    <w:rsid w:val="00617CDC"/>
    <w:rsid w:val="006217FF"/>
    <w:rsid w:val="00623A75"/>
    <w:rsid w:val="006253EC"/>
    <w:rsid w:val="0063273A"/>
    <w:rsid w:val="00632DB3"/>
    <w:rsid w:val="00632EB9"/>
    <w:rsid w:val="00635B0A"/>
    <w:rsid w:val="00640778"/>
    <w:rsid w:val="00641AE1"/>
    <w:rsid w:val="006473AB"/>
    <w:rsid w:val="00655780"/>
    <w:rsid w:val="00655966"/>
    <w:rsid w:val="00656763"/>
    <w:rsid w:val="00656C96"/>
    <w:rsid w:val="0066509E"/>
    <w:rsid w:val="006665A1"/>
    <w:rsid w:val="00667B0F"/>
    <w:rsid w:val="006706E8"/>
    <w:rsid w:val="00671720"/>
    <w:rsid w:val="00671806"/>
    <w:rsid w:val="00673AAA"/>
    <w:rsid w:val="00677298"/>
    <w:rsid w:val="0067771A"/>
    <w:rsid w:val="00681B0F"/>
    <w:rsid w:val="0068376E"/>
    <w:rsid w:val="00683BA9"/>
    <w:rsid w:val="00684000"/>
    <w:rsid w:val="00684B85"/>
    <w:rsid w:val="00685848"/>
    <w:rsid w:val="0068783F"/>
    <w:rsid w:val="00696E85"/>
    <w:rsid w:val="0069732D"/>
    <w:rsid w:val="0069760C"/>
    <w:rsid w:val="006A18C5"/>
    <w:rsid w:val="006A1CE1"/>
    <w:rsid w:val="006A2C50"/>
    <w:rsid w:val="006B08C6"/>
    <w:rsid w:val="006B5A5B"/>
    <w:rsid w:val="006C0ADF"/>
    <w:rsid w:val="006C0B39"/>
    <w:rsid w:val="006C13C7"/>
    <w:rsid w:val="006C2C7F"/>
    <w:rsid w:val="006D09A7"/>
    <w:rsid w:val="006D783E"/>
    <w:rsid w:val="006D7F0D"/>
    <w:rsid w:val="006E7F1D"/>
    <w:rsid w:val="006F3EB3"/>
    <w:rsid w:val="006F4DCD"/>
    <w:rsid w:val="007012E2"/>
    <w:rsid w:val="00701B96"/>
    <w:rsid w:val="00702FF2"/>
    <w:rsid w:val="00703B66"/>
    <w:rsid w:val="00705800"/>
    <w:rsid w:val="00705EAB"/>
    <w:rsid w:val="00706519"/>
    <w:rsid w:val="00706E15"/>
    <w:rsid w:val="00712257"/>
    <w:rsid w:val="00714249"/>
    <w:rsid w:val="007225E4"/>
    <w:rsid w:val="00723455"/>
    <w:rsid w:val="00724762"/>
    <w:rsid w:val="007249D4"/>
    <w:rsid w:val="00724D6D"/>
    <w:rsid w:val="00727B4D"/>
    <w:rsid w:val="00730F9B"/>
    <w:rsid w:val="00731410"/>
    <w:rsid w:val="0073474C"/>
    <w:rsid w:val="0073489D"/>
    <w:rsid w:val="0073754C"/>
    <w:rsid w:val="007407F6"/>
    <w:rsid w:val="00741F8C"/>
    <w:rsid w:val="007439BE"/>
    <w:rsid w:val="00744DE4"/>
    <w:rsid w:val="0074716F"/>
    <w:rsid w:val="0074737F"/>
    <w:rsid w:val="00751E72"/>
    <w:rsid w:val="00753673"/>
    <w:rsid w:val="007540BD"/>
    <w:rsid w:val="007557CD"/>
    <w:rsid w:val="00762205"/>
    <w:rsid w:val="0076226A"/>
    <w:rsid w:val="0076323D"/>
    <w:rsid w:val="00764201"/>
    <w:rsid w:val="007735BC"/>
    <w:rsid w:val="00773731"/>
    <w:rsid w:val="0077532B"/>
    <w:rsid w:val="00781587"/>
    <w:rsid w:val="00781CB3"/>
    <w:rsid w:val="00782ABF"/>
    <w:rsid w:val="007830BE"/>
    <w:rsid w:val="0078690F"/>
    <w:rsid w:val="007912B3"/>
    <w:rsid w:val="007940C9"/>
    <w:rsid w:val="00794D5D"/>
    <w:rsid w:val="00796312"/>
    <w:rsid w:val="007A06E8"/>
    <w:rsid w:val="007B03FA"/>
    <w:rsid w:val="007B1B23"/>
    <w:rsid w:val="007B21FA"/>
    <w:rsid w:val="007B2ADE"/>
    <w:rsid w:val="007B3940"/>
    <w:rsid w:val="007B50E1"/>
    <w:rsid w:val="007C1F43"/>
    <w:rsid w:val="007C6CB6"/>
    <w:rsid w:val="007D492E"/>
    <w:rsid w:val="007D659C"/>
    <w:rsid w:val="007E0C49"/>
    <w:rsid w:val="007E1CD7"/>
    <w:rsid w:val="007E3A3B"/>
    <w:rsid w:val="007E51F2"/>
    <w:rsid w:val="007E5E97"/>
    <w:rsid w:val="007E63FD"/>
    <w:rsid w:val="007E7688"/>
    <w:rsid w:val="007E7D8E"/>
    <w:rsid w:val="007F4357"/>
    <w:rsid w:val="007F4A4B"/>
    <w:rsid w:val="007F770C"/>
    <w:rsid w:val="00802036"/>
    <w:rsid w:val="00802CB9"/>
    <w:rsid w:val="00807BA4"/>
    <w:rsid w:val="00821133"/>
    <w:rsid w:val="0082427A"/>
    <w:rsid w:val="008324B0"/>
    <w:rsid w:val="00832939"/>
    <w:rsid w:val="00832E31"/>
    <w:rsid w:val="00833A82"/>
    <w:rsid w:val="008407EC"/>
    <w:rsid w:val="0084333E"/>
    <w:rsid w:val="0084379B"/>
    <w:rsid w:val="00844CA9"/>
    <w:rsid w:val="00847491"/>
    <w:rsid w:val="00850194"/>
    <w:rsid w:val="00851D44"/>
    <w:rsid w:val="0085497C"/>
    <w:rsid w:val="008559E9"/>
    <w:rsid w:val="00860D2C"/>
    <w:rsid w:val="00861CBA"/>
    <w:rsid w:val="00863782"/>
    <w:rsid w:val="00863B4C"/>
    <w:rsid w:val="008661FB"/>
    <w:rsid w:val="008712B9"/>
    <w:rsid w:val="00872AC0"/>
    <w:rsid w:val="00875531"/>
    <w:rsid w:val="00880B95"/>
    <w:rsid w:val="00882741"/>
    <w:rsid w:val="008847A1"/>
    <w:rsid w:val="008862EC"/>
    <w:rsid w:val="00886865"/>
    <w:rsid w:val="00892B13"/>
    <w:rsid w:val="008947E8"/>
    <w:rsid w:val="00895BA0"/>
    <w:rsid w:val="008A1C6B"/>
    <w:rsid w:val="008B1B83"/>
    <w:rsid w:val="008B3117"/>
    <w:rsid w:val="008B3ADA"/>
    <w:rsid w:val="008B7D47"/>
    <w:rsid w:val="008C073D"/>
    <w:rsid w:val="008C0CBF"/>
    <w:rsid w:val="008C3537"/>
    <w:rsid w:val="008C5B2D"/>
    <w:rsid w:val="008C5F4A"/>
    <w:rsid w:val="008D1674"/>
    <w:rsid w:val="008E14BC"/>
    <w:rsid w:val="008E2FB8"/>
    <w:rsid w:val="008E3990"/>
    <w:rsid w:val="008F17E5"/>
    <w:rsid w:val="008F272E"/>
    <w:rsid w:val="008F6B2B"/>
    <w:rsid w:val="008F7507"/>
    <w:rsid w:val="00902FCB"/>
    <w:rsid w:val="00905C37"/>
    <w:rsid w:val="00906916"/>
    <w:rsid w:val="009245EE"/>
    <w:rsid w:val="0092514B"/>
    <w:rsid w:val="009264AA"/>
    <w:rsid w:val="0093001B"/>
    <w:rsid w:val="00944EE8"/>
    <w:rsid w:val="009461F0"/>
    <w:rsid w:val="009464F5"/>
    <w:rsid w:val="00946EE3"/>
    <w:rsid w:val="00946F88"/>
    <w:rsid w:val="00953029"/>
    <w:rsid w:val="00953410"/>
    <w:rsid w:val="009601F5"/>
    <w:rsid w:val="00963171"/>
    <w:rsid w:val="00963E43"/>
    <w:rsid w:val="00970F21"/>
    <w:rsid w:val="00975F3B"/>
    <w:rsid w:val="0098382A"/>
    <w:rsid w:val="0098598D"/>
    <w:rsid w:val="00986ECB"/>
    <w:rsid w:val="00992D2B"/>
    <w:rsid w:val="00993DB9"/>
    <w:rsid w:val="009943CD"/>
    <w:rsid w:val="00994809"/>
    <w:rsid w:val="00994E91"/>
    <w:rsid w:val="00995577"/>
    <w:rsid w:val="009A4BE3"/>
    <w:rsid w:val="009B094F"/>
    <w:rsid w:val="009C37F8"/>
    <w:rsid w:val="009C3979"/>
    <w:rsid w:val="009C6BB2"/>
    <w:rsid w:val="009D5BFF"/>
    <w:rsid w:val="009E27B6"/>
    <w:rsid w:val="009E46B7"/>
    <w:rsid w:val="009E7920"/>
    <w:rsid w:val="009F368F"/>
    <w:rsid w:val="009F4367"/>
    <w:rsid w:val="009F4701"/>
    <w:rsid w:val="009F7033"/>
    <w:rsid w:val="009F767F"/>
    <w:rsid w:val="00A011F0"/>
    <w:rsid w:val="00A03CE6"/>
    <w:rsid w:val="00A03E48"/>
    <w:rsid w:val="00A11F5A"/>
    <w:rsid w:val="00A158CB"/>
    <w:rsid w:val="00A23834"/>
    <w:rsid w:val="00A24A07"/>
    <w:rsid w:val="00A276E5"/>
    <w:rsid w:val="00A27864"/>
    <w:rsid w:val="00A31A1B"/>
    <w:rsid w:val="00A34B40"/>
    <w:rsid w:val="00A36292"/>
    <w:rsid w:val="00A36D64"/>
    <w:rsid w:val="00A373D5"/>
    <w:rsid w:val="00A3749F"/>
    <w:rsid w:val="00A44A6B"/>
    <w:rsid w:val="00A51DBA"/>
    <w:rsid w:val="00A533A3"/>
    <w:rsid w:val="00A53BD2"/>
    <w:rsid w:val="00A5408B"/>
    <w:rsid w:val="00A556CE"/>
    <w:rsid w:val="00A562AC"/>
    <w:rsid w:val="00A57895"/>
    <w:rsid w:val="00A6230D"/>
    <w:rsid w:val="00A63ADF"/>
    <w:rsid w:val="00A67408"/>
    <w:rsid w:val="00A67D37"/>
    <w:rsid w:val="00A71230"/>
    <w:rsid w:val="00A728EB"/>
    <w:rsid w:val="00A72DDE"/>
    <w:rsid w:val="00A75EAC"/>
    <w:rsid w:val="00A77855"/>
    <w:rsid w:val="00A77927"/>
    <w:rsid w:val="00A82AE4"/>
    <w:rsid w:val="00A856B3"/>
    <w:rsid w:val="00A85ECD"/>
    <w:rsid w:val="00A86FFB"/>
    <w:rsid w:val="00A916F3"/>
    <w:rsid w:val="00A923E2"/>
    <w:rsid w:val="00A93189"/>
    <w:rsid w:val="00A960F3"/>
    <w:rsid w:val="00A964CE"/>
    <w:rsid w:val="00A96C60"/>
    <w:rsid w:val="00A975FD"/>
    <w:rsid w:val="00A97ECF"/>
    <w:rsid w:val="00AA2A05"/>
    <w:rsid w:val="00AA2F5D"/>
    <w:rsid w:val="00AA4437"/>
    <w:rsid w:val="00AB229C"/>
    <w:rsid w:val="00AB2908"/>
    <w:rsid w:val="00AB363A"/>
    <w:rsid w:val="00AC0C16"/>
    <w:rsid w:val="00AC35D6"/>
    <w:rsid w:val="00AC5584"/>
    <w:rsid w:val="00AC5CDF"/>
    <w:rsid w:val="00AD0059"/>
    <w:rsid w:val="00AD305D"/>
    <w:rsid w:val="00AD590E"/>
    <w:rsid w:val="00AD678B"/>
    <w:rsid w:val="00AD71CB"/>
    <w:rsid w:val="00AE41A1"/>
    <w:rsid w:val="00AE4AE9"/>
    <w:rsid w:val="00AE57C6"/>
    <w:rsid w:val="00AE5A17"/>
    <w:rsid w:val="00AE60EB"/>
    <w:rsid w:val="00AE70EE"/>
    <w:rsid w:val="00AF5AF6"/>
    <w:rsid w:val="00B04B70"/>
    <w:rsid w:val="00B107AF"/>
    <w:rsid w:val="00B11645"/>
    <w:rsid w:val="00B13BB6"/>
    <w:rsid w:val="00B229CC"/>
    <w:rsid w:val="00B24B6B"/>
    <w:rsid w:val="00B2565D"/>
    <w:rsid w:val="00B30727"/>
    <w:rsid w:val="00B33A35"/>
    <w:rsid w:val="00B3497E"/>
    <w:rsid w:val="00B358B3"/>
    <w:rsid w:val="00B441D7"/>
    <w:rsid w:val="00B45D36"/>
    <w:rsid w:val="00B47FD6"/>
    <w:rsid w:val="00B505A6"/>
    <w:rsid w:val="00B5413C"/>
    <w:rsid w:val="00B54207"/>
    <w:rsid w:val="00B6740E"/>
    <w:rsid w:val="00B67E21"/>
    <w:rsid w:val="00B717BE"/>
    <w:rsid w:val="00B734BB"/>
    <w:rsid w:val="00B7674B"/>
    <w:rsid w:val="00B77950"/>
    <w:rsid w:val="00B80700"/>
    <w:rsid w:val="00B81B85"/>
    <w:rsid w:val="00B83D31"/>
    <w:rsid w:val="00B85837"/>
    <w:rsid w:val="00B86940"/>
    <w:rsid w:val="00B87347"/>
    <w:rsid w:val="00B87E51"/>
    <w:rsid w:val="00B90A33"/>
    <w:rsid w:val="00B912F1"/>
    <w:rsid w:val="00B91712"/>
    <w:rsid w:val="00B91D48"/>
    <w:rsid w:val="00B93220"/>
    <w:rsid w:val="00B932C3"/>
    <w:rsid w:val="00B95D31"/>
    <w:rsid w:val="00BA071F"/>
    <w:rsid w:val="00BA47F8"/>
    <w:rsid w:val="00BA7059"/>
    <w:rsid w:val="00BB27DA"/>
    <w:rsid w:val="00BB40C8"/>
    <w:rsid w:val="00BB658F"/>
    <w:rsid w:val="00BB6985"/>
    <w:rsid w:val="00BC15A1"/>
    <w:rsid w:val="00BC22E7"/>
    <w:rsid w:val="00BC31CE"/>
    <w:rsid w:val="00BC56EA"/>
    <w:rsid w:val="00BC6602"/>
    <w:rsid w:val="00BD2C02"/>
    <w:rsid w:val="00BD3308"/>
    <w:rsid w:val="00BD787B"/>
    <w:rsid w:val="00BE0CE4"/>
    <w:rsid w:val="00BE6055"/>
    <w:rsid w:val="00BE7D68"/>
    <w:rsid w:val="00BF101A"/>
    <w:rsid w:val="00BF7046"/>
    <w:rsid w:val="00C02650"/>
    <w:rsid w:val="00C03ED1"/>
    <w:rsid w:val="00C064BC"/>
    <w:rsid w:val="00C06EBB"/>
    <w:rsid w:val="00C12A7F"/>
    <w:rsid w:val="00C1503E"/>
    <w:rsid w:val="00C1570A"/>
    <w:rsid w:val="00C16955"/>
    <w:rsid w:val="00C214E3"/>
    <w:rsid w:val="00C21584"/>
    <w:rsid w:val="00C2184A"/>
    <w:rsid w:val="00C22C94"/>
    <w:rsid w:val="00C26117"/>
    <w:rsid w:val="00C34ECB"/>
    <w:rsid w:val="00C3559B"/>
    <w:rsid w:val="00C41BBD"/>
    <w:rsid w:val="00C44620"/>
    <w:rsid w:val="00C50554"/>
    <w:rsid w:val="00C53CED"/>
    <w:rsid w:val="00C57362"/>
    <w:rsid w:val="00C57CA7"/>
    <w:rsid w:val="00C617FE"/>
    <w:rsid w:val="00C640AD"/>
    <w:rsid w:val="00C64F3D"/>
    <w:rsid w:val="00C663BC"/>
    <w:rsid w:val="00C7051E"/>
    <w:rsid w:val="00C70BEA"/>
    <w:rsid w:val="00C71B04"/>
    <w:rsid w:val="00C766CC"/>
    <w:rsid w:val="00C76B7D"/>
    <w:rsid w:val="00C82D7B"/>
    <w:rsid w:val="00C8406C"/>
    <w:rsid w:val="00C84D26"/>
    <w:rsid w:val="00C87AAA"/>
    <w:rsid w:val="00C90359"/>
    <w:rsid w:val="00C94E96"/>
    <w:rsid w:val="00C968FA"/>
    <w:rsid w:val="00C979A8"/>
    <w:rsid w:val="00CA543F"/>
    <w:rsid w:val="00CA6429"/>
    <w:rsid w:val="00CA6ADF"/>
    <w:rsid w:val="00CB5C14"/>
    <w:rsid w:val="00CB7679"/>
    <w:rsid w:val="00CC12A8"/>
    <w:rsid w:val="00CC3891"/>
    <w:rsid w:val="00CC6892"/>
    <w:rsid w:val="00CD036A"/>
    <w:rsid w:val="00CD1861"/>
    <w:rsid w:val="00CD31FE"/>
    <w:rsid w:val="00CD3BF3"/>
    <w:rsid w:val="00CD4F1D"/>
    <w:rsid w:val="00CD7D53"/>
    <w:rsid w:val="00CE01CE"/>
    <w:rsid w:val="00CE148C"/>
    <w:rsid w:val="00CE1EC6"/>
    <w:rsid w:val="00CE3A89"/>
    <w:rsid w:val="00CE5201"/>
    <w:rsid w:val="00CF1627"/>
    <w:rsid w:val="00CF5EFE"/>
    <w:rsid w:val="00CF73F8"/>
    <w:rsid w:val="00CF760D"/>
    <w:rsid w:val="00D008ED"/>
    <w:rsid w:val="00D01984"/>
    <w:rsid w:val="00D01EDA"/>
    <w:rsid w:val="00D06629"/>
    <w:rsid w:val="00D066E0"/>
    <w:rsid w:val="00D16472"/>
    <w:rsid w:val="00D21C43"/>
    <w:rsid w:val="00D24228"/>
    <w:rsid w:val="00D321C9"/>
    <w:rsid w:val="00D33ED1"/>
    <w:rsid w:val="00D353A2"/>
    <w:rsid w:val="00D37FC2"/>
    <w:rsid w:val="00D43DB0"/>
    <w:rsid w:val="00D45636"/>
    <w:rsid w:val="00D52B1F"/>
    <w:rsid w:val="00D55C51"/>
    <w:rsid w:val="00D570C5"/>
    <w:rsid w:val="00D579B2"/>
    <w:rsid w:val="00D65E69"/>
    <w:rsid w:val="00D670A9"/>
    <w:rsid w:val="00D91C1E"/>
    <w:rsid w:val="00D922CF"/>
    <w:rsid w:val="00D92335"/>
    <w:rsid w:val="00D951B4"/>
    <w:rsid w:val="00DA32B3"/>
    <w:rsid w:val="00DA6734"/>
    <w:rsid w:val="00DB395F"/>
    <w:rsid w:val="00DB56B3"/>
    <w:rsid w:val="00DB6005"/>
    <w:rsid w:val="00DB6F7A"/>
    <w:rsid w:val="00DD053C"/>
    <w:rsid w:val="00DD4281"/>
    <w:rsid w:val="00DE05C3"/>
    <w:rsid w:val="00DE24BE"/>
    <w:rsid w:val="00DE55D7"/>
    <w:rsid w:val="00DE5B21"/>
    <w:rsid w:val="00DE7479"/>
    <w:rsid w:val="00DF03BB"/>
    <w:rsid w:val="00DF128B"/>
    <w:rsid w:val="00DF2F94"/>
    <w:rsid w:val="00E0632B"/>
    <w:rsid w:val="00E1071C"/>
    <w:rsid w:val="00E10C4F"/>
    <w:rsid w:val="00E1113C"/>
    <w:rsid w:val="00E11688"/>
    <w:rsid w:val="00E14B30"/>
    <w:rsid w:val="00E23013"/>
    <w:rsid w:val="00E2584D"/>
    <w:rsid w:val="00E2620C"/>
    <w:rsid w:val="00E26EAA"/>
    <w:rsid w:val="00E27CC3"/>
    <w:rsid w:val="00E30FCA"/>
    <w:rsid w:val="00E343D3"/>
    <w:rsid w:val="00E36F97"/>
    <w:rsid w:val="00E4138F"/>
    <w:rsid w:val="00E42057"/>
    <w:rsid w:val="00E44C4F"/>
    <w:rsid w:val="00E45A8B"/>
    <w:rsid w:val="00E468F4"/>
    <w:rsid w:val="00E500D0"/>
    <w:rsid w:val="00E528A6"/>
    <w:rsid w:val="00E62BEE"/>
    <w:rsid w:val="00E63075"/>
    <w:rsid w:val="00E644BF"/>
    <w:rsid w:val="00E65380"/>
    <w:rsid w:val="00E66821"/>
    <w:rsid w:val="00E7224B"/>
    <w:rsid w:val="00E73A40"/>
    <w:rsid w:val="00E806E3"/>
    <w:rsid w:val="00E81697"/>
    <w:rsid w:val="00E84119"/>
    <w:rsid w:val="00E87D86"/>
    <w:rsid w:val="00E928D4"/>
    <w:rsid w:val="00E94852"/>
    <w:rsid w:val="00E971D3"/>
    <w:rsid w:val="00EA3B0F"/>
    <w:rsid w:val="00EA4023"/>
    <w:rsid w:val="00EA4D25"/>
    <w:rsid w:val="00EA576F"/>
    <w:rsid w:val="00EB0255"/>
    <w:rsid w:val="00EB2C8C"/>
    <w:rsid w:val="00EB3838"/>
    <w:rsid w:val="00EB4C77"/>
    <w:rsid w:val="00EB68CC"/>
    <w:rsid w:val="00EC0686"/>
    <w:rsid w:val="00EC0C5D"/>
    <w:rsid w:val="00EC1285"/>
    <w:rsid w:val="00EC2095"/>
    <w:rsid w:val="00EC5E51"/>
    <w:rsid w:val="00EC76B0"/>
    <w:rsid w:val="00ED48AE"/>
    <w:rsid w:val="00ED6ED7"/>
    <w:rsid w:val="00EE0137"/>
    <w:rsid w:val="00EE0B94"/>
    <w:rsid w:val="00EE1783"/>
    <w:rsid w:val="00EE5FEF"/>
    <w:rsid w:val="00EE65A7"/>
    <w:rsid w:val="00EE7E74"/>
    <w:rsid w:val="00EF48EC"/>
    <w:rsid w:val="00EF58B4"/>
    <w:rsid w:val="00EF6016"/>
    <w:rsid w:val="00EF7A6C"/>
    <w:rsid w:val="00F03131"/>
    <w:rsid w:val="00F05E03"/>
    <w:rsid w:val="00F101A4"/>
    <w:rsid w:val="00F105A5"/>
    <w:rsid w:val="00F10C70"/>
    <w:rsid w:val="00F112DA"/>
    <w:rsid w:val="00F2054D"/>
    <w:rsid w:val="00F2061A"/>
    <w:rsid w:val="00F2603B"/>
    <w:rsid w:val="00F30057"/>
    <w:rsid w:val="00F34750"/>
    <w:rsid w:val="00F34FFB"/>
    <w:rsid w:val="00F35DBF"/>
    <w:rsid w:val="00F46114"/>
    <w:rsid w:val="00F47B3A"/>
    <w:rsid w:val="00F50E04"/>
    <w:rsid w:val="00F5131E"/>
    <w:rsid w:val="00F532C9"/>
    <w:rsid w:val="00F57B5E"/>
    <w:rsid w:val="00F602C8"/>
    <w:rsid w:val="00F60FC6"/>
    <w:rsid w:val="00F62595"/>
    <w:rsid w:val="00F64A98"/>
    <w:rsid w:val="00F7168A"/>
    <w:rsid w:val="00F71C13"/>
    <w:rsid w:val="00F738F9"/>
    <w:rsid w:val="00F76473"/>
    <w:rsid w:val="00F77228"/>
    <w:rsid w:val="00F80307"/>
    <w:rsid w:val="00F866C3"/>
    <w:rsid w:val="00F90567"/>
    <w:rsid w:val="00F91352"/>
    <w:rsid w:val="00F922ED"/>
    <w:rsid w:val="00F92CBA"/>
    <w:rsid w:val="00FA3BBE"/>
    <w:rsid w:val="00FB7ADE"/>
    <w:rsid w:val="00FC164F"/>
    <w:rsid w:val="00FC49B7"/>
    <w:rsid w:val="00FD2036"/>
    <w:rsid w:val="00FD6437"/>
    <w:rsid w:val="00FE1210"/>
    <w:rsid w:val="00FE45B3"/>
    <w:rsid w:val="00FE5F12"/>
    <w:rsid w:val="00FE7E77"/>
    <w:rsid w:val="00FF0B7A"/>
    <w:rsid w:val="00FF5A79"/>
    <w:rsid w:val="00FF753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4787E5"/>
  <w15:docId w15:val="{775DD35B-2392-42B4-B668-39B8BD30E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630"/>
  </w:style>
  <w:style w:type="paragraph" w:styleId="Overskrift1">
    <w:name w:val="heading 1"/>
    <w:basedOn w:val="Normal"/>
    <w:next w:val="Normal"/>
    <w:uiPriority w:val="1"/>
    <w:qFormat/>
    <w:rsid w:val="00AB363A"/>
    <w:pPr>
      <w:keepNext/>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5E77EF"/>
    <w:pPr>
      <w:keepNext/>
      <w:keepLines/>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1"/>
    <w:qFormat/>
    <w:rsid w:val="005E77EF"/>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B363A"/>
    <w:pPr>
      <w:outlineLvl w:val="3"/>
    </w:pPr>
  </w:style>
  <w:style w:type="paragraph" w:styleId="Overskrift5">
    <w:name w:val="heading 5"/>
    <w:basedOn w:val="Overskrift4"/>
    <w:next w:val="Normal"/>
    <w:link w:val="Overskrift5Tegn"/>
    <w:uiPriority w:val="1"/>
    <w:semiHidden/>
    <w:rsid w:val="00AB363A"/>
    <w:pPr>
      <w:outlineLvl w:val="4"/>
    </w:pPr>
  </w:style>
  <w:style w:type="paragraph" w:styleId="Overskrift6">
    <w:name w:val="heading 6"/>
    <w:basedOn w:val="Overskrift5"/>
    <w:next w:val="Normal"/>
    <w:link w:val="Overskrift6Tegn"/>
    <w:uiPriority w:val="1"/>
    <w:semiHidden/>
    <w:rsid w:val="00AB363A"/>
    <w:pPr>
      <w:outlineLvl w:val="5"/>
    </w:pPr>
  </w:style>
  <w:style w:type="paragraph" w:styleId="Overskrift7">
    <w:name w:val="heading 7"/>
    <w:basedOn w:val="Overskrift6"/>
    <w:next w:val="Normal"/>
    <w:link w:val="Overskrift7Tegn"/>
    <w:uiPriority w:val="1"/>
    <w:semiHidden/>
    <w:rsid w:val="00AB363A"/>
    <w:pPr>
      <w:outlineLvl w:val="6"/>
    </w:pPr>
  </w:style>
  <w:style w:type="paragraph" w:styleId="Overskrift8">
    <w:name w:val="heading 8"/>
    <w:basedOn w:val="Overskrift7"/>
    <w:next w:val="Normal"/>
    <w:link w:val="Overskrift8Tegn"/>
    <w:uiPriority w:val="1"/>
    <w:semiHidden/>
    <w:rsid w:val="00AB363A"/>
    <w:pPr>
      <w:outlineLvl w:val="7"/>
    </w:pPr>
  </w:style>
  <w:style w:type="paragraph" w:styleId="Overskrift9">
    <w:name w:val="heading 9"/>
    <w:basedOn w:val="Overskrift8"/>
    <w:next w:val="Normal"/>
    <w:link w:val="Overskrift9Tegn"/>
    <w:uiPriority w:val="1"/>
    <w:semiHidden/>
    <w:rsid w:val="00AB363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99"/>
    <w:semiHidden/>
    <w:rsid w:val="002629A8"/>
    <w:pPr>
      <w:tabs>
        <w:tab w:val="center" w:pos="4819"/>
        <w:tab w:val="right" w:pos="9638"/>
      </w:tabs>
    </w:pPr>
  </w:style>
  <w:style w:type="paragraph" w:styleId="Sidefod">
    <w:name w:val="footer"/>
    <w:basedOn w:val="Normal"/>
    <w:uiPriority w:val="99"/>
    <w:semiHidden/>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99"/>
    <w:semiHidden/>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A7219"/>
    <w:rPr>
      <w:rFonts w:ascii="Arial" w:hAnsi="Arial"/>
      <w:sz w:val="22"/>
      <w:vertAlign w:val="superscript"/>
      <w:lang w:val="da-DK"/>
    </w:rPr>
  </w:style>
  <w:style w:type="paragraph" w:styleId="Fodnotetekst">
    <w:name w:val="footnote text"/>
    <w:basedOn w:val="Normal"/>
    <w:link w:val="FodnotetekstTegn"/>
    <w:uiPriority w:val="9"/>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AB363A"/>
    <w:rPr>
      <w:rFonts w:cs="Arial"/>
      <w:noProof/>
      <w:szCs w:val="14"/>
    </w:rPr>
  </w:style>
  <w:style w:type="paragraph" w:styleId="Markeringsbobletekst">
    <w:name w:val="Balloon Text"/>
    <w:basedOn w:val="Normal"/>
    <w:link w:val="MarkeringsbobletekstTegn"/>
    <w:uiPriority w:val="99"/>
    <w:semiHidden/>
    <w:rsid w:val="000A1C9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5630B4"/>
    <w:pPr>
      <w:ind w:right="0"/>
    </w:pPr>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5E77EF"/>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5E77EF"/>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00874B"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00874B"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00874B"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00874B"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00874B"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00874B"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00874B" w:themeColor="accent1" w:shadow="1"/>
        <w:left w:val="single" w:sz="2" w:space="10" w:color="00874B" w:themeColor="accent1" w:shadow="1"/>
        <w:bottom w:val="single" w:sz="2" w:space="10" w:color="00874B" w:themeColor="accent1" w:shadow="1"/>
        <w:right w:val="single" w:sz="2" w:space="10" w:color="00874B" w:themeColor="accent1" w:shadow="1"/>
      </w:pBdr>
      <w:ind w:left="1152" w:right="1152"/>
    </w:pPr>
    <w:rPr>
      <w:rFonts w:asciiTheme="minorHAnsi" w:eastAsiaTheme="minorEastAsia" w:hAnsiTheme="minorHAnsi" w:cstheme="minorBidi"/>
      <w:i/>
      <w:iCs/>
      <w:color w:val="00874B" w:themeColor="accent1"/>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B81B85"/>
    <w:pPr>
      <w:spacing w:after="200" w:line="240" w:lineRule="auto"/>
    </w:pPr>
    <w:rPr>
      <w:b/>
      <w:bCs/>
      <w:color w:val="003127"/>
      <w:sz w:val="18"/>
      <w:szCs w:val="18"/>
    </w:rPr>
  </w:style>
  <w:style w:type="paragraph" w:styleId="Sluthilsen">
    <w:name w:val="Closing"/>
    <w:basedOn w:val="Normal"/>
    <w:link w:val="SluthilsenTegn"/>
    <w:uiPriority w:val="99"/>
    <w:semiHidden/>
    <w:rsid w:val="00225534"/>
    <w:pPr>
      <w:spacing w:line="240" w:lineRule="auto"/>
      <w:ind w:left="4252"/>
    </w:p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1" w:themeFillTint="33"/>
    </w:tcPr>
    <w:tblStylePr w:type="firstRow">
      <w:rPr>
        <w:b/>
        <w:bCs/>
      </w:rPr>
      <w:tblPr/>
      <w:tcPr>
        <w:shd w:val="clear" w:color="auto" w:fill="69FFBB" w:themeFill="accent1" w:themeFillTint="66"/>
      </w:tcPr>
    </w:tblStylePr>
    <w:tblStylePr w:type="lastRow">
      <w:rPr>
        <w:b/>
        <w:bCs/>
        <w:color w:val="000000" w:themeColor="text1"/>
      </w:rPr>
      <w:tblPr/>
      <w:tcPr>
        <w:shd w:val="clear" w:color="auto" w:fill="69FFBB" w:themeFill="accent1" w:themeFillTint="66"/>
      </w:tcPr>
    </w:tblStylePr>
    <w:tblStylePr w:type="firstCol">
      <w:rPr>
        <w:color w:val="FFFFFF" w:themeColor="background1"/>
      </w:rPr>
      <w:tblPr/>
      <w:tcPr>
        <w:shd w:val="clear" w:color="auto" w:fill="006537" w:themeFill="accent1" w:themeFillShade="BF"/>
      </w:tcPr>
    </w:tblStylePr>
    <w:tblStylePr w:type="lastCol">
      <w:rPr>
        <w:color w:val="FFFFFF" w:themeColor="background1"/>
      </w:rPr>
      <w:tblPr/>
      <w:tcPr>
        <w:shd w:val="clear" w:color="auto" w:fill="006537" w:themeFill="accent1" w:themeFillShade="BF"/>
      </w:tc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3" w:themeFillTint="33"/>
    </w:tcPr>
    <w:tblStylePr w:type="firstRow">
      <w:rPr>
        <w:b/>
        <w:bCs/>
      </w:rPr>
      <w:tblPr/>
      <w:tcPr>
        <w:shd w:val="clear" w:color="auto" w:fill="78DFFF" w:themeFill="accent3" w:themeFillTint="66"/>
      </w:tcPr>
    </w:tblStylePr>
    <w:tblStylePr w:type="lastRow">
      <w:rPr>
        <w:b/>
        <w:bCs/>
        <w:color w:val="000000" w:themeColor="text1"/>
      </w:rPr>
      <w:tblPr/>
      <w:tcPr>
        <w:shd w:val="clear" w:color="auto" w:fill="78DFFF" w:themeFill="accent3" w:themeFillTint="66"/>
      </w:tcPr>
    </w:tblStylePr>
    <w:tblStylePr w:type="firstCol">
      <w:rPr>
        <w:color w:val="FFFFFF" w:themeColor="background1"/>
      </w:rPr>
      <w:tblPr/>
      <w:tcPr>
        <w:shd w:val="clear" w:color="auto" w:fill="006381" w:themeFill="accent3" w:themeFillShade="BF"/>
      </w:tcPr>
    </w:tblStylePr>
    <w:tblStylePr w:type="lastCol">
      <w:rPr>
        <w:color w:val="FFFFFF" w:themeColor="background1"/>
      </w:rPr>
      <w:tblPr/>
      <w:tcPr>
        <w:shd w:val="clear" w:color="auto" w:fill="006381" w:themeFill="accent3" w:themeFillShade="BF"/>
      </w:tcPr>
    </w:tblStylePr>
    <w:tblStylePr w:type="band1Vert">
      <w:tblPr/>
      <w:tcPr>
        <w:shd w:val="clear" w:color="auto" w:fill="57D8FF" w:themeFill="accent3" w:themeFillTint="7F"/>
      </w:tcPr>
    </w:tblStylePr>
    <w:tblStylePr w:type="band1Horz">
      <w:tblPr/>
      <w:tcPr>
        <w:shd w:val="clear" w:color="auto" w:fill="57D8FF"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4" w:themeFillTint="33"/>
    </w:tcPr>
    <w:tblStylePr w:type="firstRow">
      <w:rPr>
        <w:b/>
        <w:bCs/>
      </w:rPr>
      <w:tblPr/>
      <w:tcPr>
        <w:shd w:val="clear" w:color="auto" w:fill="ABE4E9" w:themeFill="accent4" w:themeFillTint="66"/>
      </w:tcPr>
    </w:tblStylePr>
    <w:tblStylePr w:type="lastRow">
      <w:rPr>
        <w:b/>
        <w:bCs/>
        <w:color w:val="000000" w:themeColor="text1"/>
      </w:rPr>
      <w:tblPr/>
      <w:tcPr>
        <w:shd w:val="clear" w:color="auto" w:fill="ABE4E9" w:themeFill="accent4" w:themeFillTint="66"/>
      </w:tcPr>
    </w:tblStylePr>
    <w:tblStylePr w:type="firstCol">
      <w:rPr>
        <w:color w:val="FFFFFF" w:themeColor="background1"/>
      </w:rPr>
      <w:tblPr/>
      <w:tcPr>
        <w:shd w:val="clear" w:color="auto" w:fill="268A92" w:themeFill="accent4" w:themeFillShade="BF"/>
      </w:tcPr>
    </w:tblStylePr>
    <w:tblStylePr w:type="lastCol">
      <w:rPr>
        <w:color w:val="FFFFFF" w:themeColor="background1"/>
      </w:rPr>
      <w:tblPr/>
      <w:tcPr>
        <w:shd w:val="clear" w:color="auto" w:fill="268A92" w:themeFill="accent4" w:themeFillShade="BF"/>
      </w:tc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F2D5" w:themeFill="accent5" w:themeFillTint="33"/>
    </w:tcPr>
    <w:tblStylePr w:type="firstRow">
      <w:rPr>
        <w:b/>
        <w:bCs/>
      </w:rPr>
      <w:tblPr/>
      <w:tcPr>
        <w:shd w:val="clear" w:color="auto" w:fill="DFE6AC" w:themeFill="accent5" w:themeFillTint="66"/>
      </w:tcPr>
    </w:tblStylePr>
    <w:tblStylePr w:type="lastRow">
      <w:rPr>
        <w:b/>
        <w:bCs/>
        <w:color w:val="000000" w:themeColor="text1"/>
      </w:rPr>
      <w:tblPr/>
      <w:tcPr>
        <w:shd w:val="clear" w:color="auto" w:fill="DFE6AC" w:themeFill="accent5" w:themeFillTint="66"/>
      </w:tcPr>
    </w:tblStylePr>
    <w:tblStylePr w:type="firstCol">
      <w:rPr>
        <w:color w:val="FFFFFF" w:themeColor="background1"/>
      </w:rPr>
      <w:tblPr/>
      <w:tcPr>
        <w:shd w:val="clear" w:color="auto" w:fill="7F8C2A" w:themeFill="accent5" w:themeFillShade="BF"/>
      </w:tcPr>
    </w:tblStylePr>
    <w:tblStylePr w:type="lastCol">
      <w:rPr>
        <w:color w:val="FFFFFF" w:themeColor="background1"/>
      </w:rPr>
      <w:tblPr/>
      <w:tcPr>
        <w:shd w:val="clear" w:color="auto" w:fill="7F8C2A" w:themeFill="accent5" w:themeFillShade="BF"/>
      </w:tcPr>
    </w:tblStylePr>
    <w:tblStylePr w:type="band1Vert">
      <w:tblPr/>
      <w:tcPr>
        <w:shd w:val="clear" w:color="auto" w:fill="D7E098" w:themeFill="accent5" w:themeFillTint="7F"/>
      </w:tcPr>
    </w:tblStylePr>
    <w:tblStylePr w:type="band1Horz">
      <w:tblPr/>
      <w:tcPr>
        <w:shd w:val="clear" w:color="auto" w:fill="D7E098"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F7E1" w:themeFill="accent6" w:themeFillTint="33"/>
    </w:tcPr>
    <w:tblStylePr w:type="firstRow">
      <w:rPr>
        <w:b/>
        <w:bCs/>
      </w:rPr>
      <w:tblPr/>
      <w:tcPr>
        <w:shd w:val="clear" w:color="auto" w:fill="F8F0C4" w:themeFill="accent6" w:themeFillTint="66"/>
      </w:tcPr>
    </w:tblStylePr>
    <w:tblStylePr w:type="lastRow">
      <w:rPr>
        <w:b/>
        <w:bCs/>
        <w:color w:val="000000" w:themeColor="text1"/>
      </w:rPr>
      <w:tblPr/>
      <w:tcPr>
        <w:shd w:val="clear" w:color="auto" w:fill="F8F0C4" w:themeFill="accent6" w:themeFillTint="66"/>
      </w:tcPr>
    </w:tblStylePr>
    <w:tblStylePr w:type="firstCol">
      <w:rPr>
        <w:color w:val="FFFFFF" w:themeColor="background1"/>
      </w:rPr>
      <w:tblPr/>
      <w:tcPr>
        <w:shd w:val="clear" w:color="auto" w:fill="E6C71D" w:themeFill="accent6" w:themeFillShade="BF"/>
      </w:tcPr>
    </w:tblStylePr>
    <w:tblStylePr w:type="lastCol">
      <w:rPr>
        <w:color w:val="FFFFFF" w:themeColor="background1"/>
      </w:rPr>
      <w:tblPr/>
      <w:tcPr>
        <w:shd w:val="clear" w:color="auto" w:fill="E6C71D" w:themeFill="accent6" w:themeFillShade="BF"/>
      </w:tcPr>
    </w:tblStylePr>
    <w:tblStylePr w:type="band1Vert">
      <w:tblPr/>
      <w:tcPr>
        <w:shd w:val="clear" w:color="auto" w:fill="F7EDB5" w:themeFill="accent6" w:themeFillTint="7F"/>
      </w:tcPr>
    </w:tblStylePr>
    <w:tblStylePr w:type="band1Horz">
      <w:tblPr/>
      <w:tcPr>
        <w:shd w:val="clear" w:color="auto" w:fill="F7EDB5"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DAFFEE"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1" w:themeFillTint="3F"/>
      </w:tcPr>
    </w:tblStylePr>
    <w:tblStylePr w:type="band1Horz">
      <w:tblPr/>
      <w:tcPr>
        <w:shd w:val="clear" w:color="auto" w:fill="B4FFDD"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DDF7FF" w:themeFill="accent3" w:themeFillTint="19"/>
    </w:tcPr>
    <w:tblStylePr w:type="firstRow">
      <w:rPr>
        <w:b/>
        <w:bCs/>
        <w:color w:val="FFFFFF" w:themeColor="background1"/>
      </w:rPr>
      <w:tblPr/>
      <w:tcPr>
        <w:tcBorders>
          <w:bottom w:val="single" w:sz="12" w:space="0" w:color="FFFFFF" w:themeColor="background1"/>
        </w:tcBorders>
        <w:shd w:val="clear" w:color="auto" w:fill="28939C" w:themeFill="accent4" w:themeFillShade="CC"/>
      </w:tcPr>
    </w:tblStylePr>
    <w:tblStylePr w:type="lastRow">
      <w:rPr>
        <w:b/>
        <w:bCs/>
        <w:color w:val="28939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3" w:themeFillTint="3F"/>
      </w:tcPr>
    </w:tblStylePr>
    <w:tblStylePr w:type="band1Horz">
      <w:tblPr/>
      <w:tcPr>
        <w:shd w:val="clear" w:color="auto" w:fill="BBEFFF"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EAF8F9" w:themeFill="accent4" w:themeFillTint="19"/>
    </w:tcPr>
    <w:tblStylePr w:type="firstRow">
      <w:rPr>
        <w:b/>
        <w:bCs/>
        <w:color w:val="FFFFFF" w:themeColor="background1"/>
      </w:rPr>
      <w:tblPr/>
      <w:tcPr>
        <w:tcBorders>
          <w:bottom w:val="single" w:sz="12" w:space="0" w:color="FFFFFF" w:themeColor="background1"/>
        </w:tcBorders>
        <w:shd w:val="clear" w:color="auto" w:fill="006A8A" w:themeFill="accent3" w:themeFillShade="CC"/>
      </w:tcPr>
    </w:tblStylePr>
    <w:tblStylePr w:type="lastRow">
      <w:rPr>
        <w:b/>
        <w:bCs/>
        <w:color w:val="006A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4" w:themeFillTint="3F"/>
      </w:tcPr>
    </w:tblStylePr>
    <w:tblStylePr w:type="band1Horz">
      <w:tblPr/>
      <w:tcPr>
        <w:shd w:val="clear" w:color="auto" w:fill="D5F1F4"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F7F9EA" w:themeFill="accent5" w:themeFillTint="19"/>
    </w:tcPr>
    <w:tblStylePr w:type="firstRow">
      <w:rPr>
        <w:b/>
        <w:bCs/>
        <w:color w:val="FFFFFF" w:themeColor="background1"/>
      </w:rPr>
      <w:tblPr/>
      <w:tcPr>
        <w:tcBorders>
          <w:bottom w:val="single" w:sz="12" w:space="0" w:color="FFFFFF" w:themeColor="background1"/>
        </w:tcBorders>
        <w:shd w:val="clear" w:color="auto" w:fill="E8CB2D" w:themeFill="accent6" w:themeFillShade="CC"/>
      </w:tcPr>
    </w:tblStylePr>
    <w:tblStylePr w:type="lastRow">
      <w:rPr>
        <w:b/>
        <w:bCs/>
        <w:color w:val="E8CB2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0CC" w:themeFill="accent5" w:themeFillTint="3F"/>
      </w:tcPr>
    </w:tblStylePr>
    <w:tblStylePr w:type="band1Horz">
      <w:tblPr/>
      <w:tcPr>
        <w:shd w:val="clear" w:color="auto" w:fill="EFF2D5"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FDFBF0" w:themeFill="accent6" w:themeFillTint="19"/>
    </w:tcPr>
    <w:tblStylePr w:type="firstRow">
      <w:rPr>
        <w:b/>
        <w:bCs/>
        <w:color w:val="FFFFFF" w:themeColor="background1"/>
      </w:rPr>
      <w:tblPr/>
      <w:tcPr>
        <w:tcBorders>
          <w:bottom w:val="single" w:sz="12" w:space="0" w:color="FFFFFF" w:themeColor="background1"/>
        </w:tcBorders>
        <w:shd w:val="clear" w:color="auto" w:fill="88962C" w:themeFill="accent5" w:themeFillShade="CC"/>
      </w:tcPr>
    </w:tblStylePr>
    <w:tblStylePr w:type="lastRow">
      <w:rPr>
        <w:b/>
        <w:bCs/>
        <w:color w:val="88962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6DA" w:themeFill="accent6" w:themeFillTint="3F"/>
      </w:tcPr>
    </w:tblStylePr>
    <w:tblStylePr w:type="band1Horz">
      <w:tblPr/>
      <w:tcPr>
        <w:shd w:val="clear" w:color="auto" w:fill="FBF7E1"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874B" w:themeColor="accent1"/>
        <w:bottom w:val="single" w:sz="4" w:space="0" w:color="00874B" w:themeColor="accent1"/>
        <w:right w:val="single" w:sz="4" w:space="0" w:color="00874B" w:themeColor="accent1"/>
        <w:insideH w:val="single" w:sz="4" w:space="0" w:color="FFFFFF" w:themeColor="background1"/>
        <w:insideV w:val="single" w:sz="4" w:space="0" w:color="FFFFFF" w:themeColor="background1"/>
      </w:tblBorders>
    </w:tblPr>
    <w:tcPr>
      <w:shd w:val="clear" w:color="auto" w:fill="DAFFEE"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1" w:themeFillShade="99"/>
      </w:tcPr>
    </w:tblStylePr>
    <w:tblStylePr w:type="firstCol">
      <w:rPr>
        <w:color w:val="FFFFFF" w:themeColor="background1"/>
      </w:rPr>
      <w:tblPr/>
      <w:tcPr>
        <w:tcBorders>
          <w:top w:val="nil"/>
          <w:left w:val="nil"/>
          <w:bottom w:val="nil"/>
          <w:right w:val="nil"/>
          <w:insideH w:val="single" w:sz="4" w:space="0" w:color="00512C" w:themeColor="accent1" w:themeShade="99"/>
          <w:insideV w:val="nil"/>
        </w:tcBorders>
        <w:shd w:val="clear" w:color="auto" w:fill="00512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1" w:themeFillShade="99"/>
      </w:tcPr>
    </w:tblStylePr>
    <w:tblStylePr w:type="band1Vert">
      <w:tblPr/>
      <w:tcPr>
        <w:shd w:val="clear" w:color="auto" w:fill="69FFBB" w:themeFill="accent1" w:themeFillTint="66"/>
      </w:tcPr>
    </w:tblStylePr>
    <w:tblStylePr w:type="band1Horz">
      <w:tblPr/>
      <w:tcPr>
        <w:shd w:val="clear" w:color="auto" w:fill="44FFAB"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33B9C4" w:themeColor="accent4"/>
        <w:left w:val="single" w:sz="4" w:space="0" w:color="0085AD" w:themeColor="accent3"/>
        <w:bottom w:val="single" w:sz="4" w:space="0" w:color="0085AD" w:themeColor="accent3"/>
        <w:right w:val="single" w:sz="4" w:space="0" w:color="0085AD" w:themeColor="accent3"/>
        <w:insideH w:val="single" w:sz="4" w:space="0" w:color="FFFFFF" w:themeColor="background1"/>
        <w:insideV w:val="single" w:sz="4" w:space="0" w:color="FFFFFF" w:themeColor="background1"/>
      </w:tblBorders>
    </w:tblPr>
    <w:tcPr>
      <w:shd w:val="clear" w:color="auto" w:fill="DDF7FF" w:themeFill="accent3" w:themeFillTint="19"/>
    </w:tcPr>
    <w:tblStylePr w:type="firstRow">
      <w:rPr>
        <w:b/>
        <w:bCs/>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3" w:themeFillShade="99"/>
      </w:tcPr>
    </w:tblStylePr>
    <w:tblStylePr w:type="firstCol">
      <w:rPr>
        <w:color w:val="FFFFFF" w:themeColor="background1"/>
      </w:rPr>
      <w:tblPr/>
      <w:tcPr>
        <w:tcBorders>
          <w:top w:val="nil"/>
          <w:left w:val="nil"/>
          <w:bottom w:val="nil"/>
          <w:right w:val="nil"/>
          <w:insideH w:val="single" w:sz="4" w:space="0" w:color="004F67" w:themeColor="accent3" w:themeShade="99"/>
          <w:insideV w:val="nil"/>
        </w:tcBorders>
        <w:shd w:val="clear" w:color="auto" w:fill="004F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3" w:themeFillShade="99"/>
      </w:tcPr>
    </w:tblStylePr>
    <w:tblStylePr w:type="band1Vert">
      <w:tblPr/>
      <w:tcPr>
        <w:shd w:val="clear" w:color="auto" w:fill="78DFFF" w:themeFill="accent3" w:themeFillTint="66"/>
      </w:tcPr>
    </w:tblStylePr>
    <w:tblStylePr w:type="band1Horz">
      <w:tblPr/>
      <w:tcPr>
        <w:shd w:val="clear" w:color="auto" w:fill="57D8FF"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0085AD" w:themeColor="accent3"/>
        <w:left w:val="single" w:sz="4" w:space="0" w:color="33B9C4" w:themeColor="accent4"/>
        <w:bottom w:val="single" w:sz="4" w:space="0" w:color="33B9C4" w:themeColor="accent4"/>
        <w:right w:val="single" w:sz="4" w:space="0" w:color="33B9C4" w:themeColor="accent4"/>
        <w:insideH w:val="single" w:sz="4" w:space="0" w:color="FFFFFF" w:themeColor="background1"/>
        <w:insideV w:val="single" w:sz="4" w:space="0" w:color="FFFFFF" w:themeColor="background1"/>
      </w:tblBorders>
    </w:tblPr>
    <w:tcPr>
      <w:shd w:val="clear" w:color="auto" w:fill="EAF8F9" w:themeFill="accent4" w:themeFillTint="19"/>
    </w:tcPr>
    <w:tblStylePr w:type="firstRow">
      <w:rPr>
        <w:b/>
        <w:bCs/>
      </w:rPr>
      <w:tblPr/>
      <w:tcPr>
        <w:tcBorders>
          <w:top w:val="nil"/>
          <w:left w:val="nil"/>
          <w:bottom w:val="single" w:sz="24" w:space="0" w:color="0085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4" w:themeFillShade="99"/>
      </w:tcPr>
    </w:tblStylePr>
    <w:tblStylePr w:type="firstCol">
      <w:rPr>
        <w:color w:val="FFFFFF" w:themeColor="background1"/>
      </w:rPr>
      <w:tblPr/>
      <w:tcPr>
        <w:tcBorders>
          <w:top w:val="nil"/>
          <w:left w:val="nil"/>
          <w:bottom w:val="nil"/>
          <w:right w:val="nil"/>
          <w:insideH w:val="single" w:sz="4" w:space="0" w:color="1E6E75" w:themeColor="accent4" w:themeShade="99"/>
          <w:insideV w:val="nil"/>
        </w:tcBorders>
        <w:shd w:val="clear" w:color="auto" w:fill="1E6E7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4" w:themeFillShade="99"/>
      </w:tcPr>
    </w:tblStylePr>
    <w:tblStylePr w:type="band1Vert">
      <w:tblPr/>
      <w:tcPr>
        <w:shd w:val="clear" w:color="auto" w:fill="ABE4E9" w:themeFill="accent4" w:themeFillTint="66"/>
      </w:tcPr>
    </w:tblStylePr>
    <w:tblStylePr w:type="band1Horz">
      <w:tblPr/>
      <w:tcPr>
        <w:shd w:val="clear" w:color="auto" w:fill="97DDE4"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EFDB6C" w:themeColor="accent6"/>
        <w:left w:val="single" w:sz="4" w:space="0" w:color="ABBC38" w:themeColor="accent5"/>
        <w:bottom w:val="single" w:sz="4" w:space="0" w:color="ABBC38" w:themeColor="accent5"/>
        <w:right w:val="single" w:sz="4" w:space="0" w:color="ABBC38" w:themeColor="accent5"/>
        <w:insideH w:val="single" w:sz="4" w:space="0" w:color="FFFFFF" w:themeColor="background1"/>
        <w:insideV w:val="single" w:sz="4" w:space="0" w:color="FFFFFF" w:themeColor="background1"/>
      </w:tblBorders>
    </w:tblPr>
    <w:tcPr>
      <w:shd w:val="clear" w:color="auto" w:fill="F7F9EA" w:themeFill="accent5" w:themeFillTint="19"/>
    </w:tcPr>
    <w:tblStylePr w:type="firstRow">
      <w:rPr>
        <w:b/>
        <w:bCs/>
      </w:rPr>
      <w:tblPr/>
      <w:tcPr>
        <w:tcBorders>
          <w:top w:val="nil"/>
          <w:left w:val="nil"/>
          <w:bottom w:val="single" w:sz="24" w:space="0" w:color="EFDB6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21" w:themeFill="accent5" w:themeFillShade="99"/>
      </w:tcPr>
    </w:tblStylePr>
    <w:tblStylePr w:type="firstCol">
      <w:rPr>
        <w:color w:val="FFFFFF" w:themeColor="background1"/>
      </w:rPr>
      <w:tblPr/>
      <w:tcPr>
        <w:tcBorders>
          <w:top w:val="nil"/>
          <w:left w:val="nil"/>
          <w:bottom w:val="nil"/>
          <w:right w:val="nil"/>
          <w:insideH w:val="single" w:sz="4" w:space="0" w:color="667021" w:themeColor="accent5" w:themeShade="99"/>
          <w:insideV w:val="nil"/>
        </w:tcBorders>
        <w:shd w:val="clear" w:color="auto" w:fill="66702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67021" w:themeFill="accent5" w:themeFillShade="99"/>
      </w:tcPr>
    </w:tblStylePr>
    <w:tblStylePr w:type="band1Vert">
      <w:tblPr/>
      <w:tcPr>
        <w:shd w:val="clear" w:color="auto" w:fill="DFE6AC" w:themeFill="accent5" w:themeFillTint="66"/>
      </w:tcPr>
    </w:tblStylePr>
    <w:tblStylePr w:type="band1Horz">
      <w:tblPr/>
      <w:tcPr>
        <w:shd w:val="clear" w:color="auto" w:fill="D7E098"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ABBC38" w:themeColor="accent5"/>
        <w:left w:val="single" w:sz="4" w:space="0" w:color="EFDB6C" w:themeColor="accent6"/>
        <w:bottom w:val="single" w:sz="4" w:space="0" w:color="EFDB6C" w:themeColor="accent6"/>
        <w:right w:val="single" w:sz="4" w:space="0" w:color="EFDB6C" w:themeColor="accent6"/>
        <w:insideH w:val="single" w:sz="4" w:space="0" w:color="FFFFFF" w:themeColor="background1"/>
        <w:insideV w:val="single" w:sz="4" w:space="0" w:color="FFFFFF" w:themeColor="background1"/>
      </w:tblBorders>
    </w:tblPr>
    <w:tcPr>
      <w:shd w:val="clear" w:color="auto" w:fill="FDFBF0" w:themeFill="accent6" w:themeFillTint="19"/>
    </w:tcPr>
    <w:tblStylePr w:type="firstRow">
      <w:rPr>
        <w:b/>
        <w:bCs/>
      </w:rPr>
      <w:tblPr/>
      <w:tcPr>
        <w:tcBorders>
          <w:top w:val="nil"/>
          <w:left w:val="nil"/>
          <w:bottom w:val="single" w:sz="24" w:space="0" w:color="ABBC3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A114" w:themeFill="accent6" w:themeFillShade="99"/>
      </w:tcPr>
    </w:tblStylePr>
    <w:tblStylePr w:type="firstCol">
      <w:rPr>
        <w:color w:val="FFFFFF" w:themeColor="background1"/>
      </w:rPr>
      <w:tblPr/>
      <w:tcPr>
        <w:tcBorders>
          <w:top w:val="nil"/>
          <w:left w:val="nil"/>
          <w:bottom w:val="nil"/>
          <w:right w:val="nil"/>
          <w:insideH w:val="single" w:sz="4" w:space="0" w:color="BBA114" w:themeColor="accent6" w:themeShade="99"/>
          <w:insideV w:val="nil"/>
        </w:tcBorders>
        <w:shd w:val="clear" w:color="auto" w:fill="BBA1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BA114" w:themeFill="accent6" w:themeFillShade="99"/>
      </w:tcPr>
    </w:tblStylePr>
    <w:tblStylePr w:type="band1Vert">
      <w:tblPr/>
      <w:tcPr>
        <w:shd w:val="clear" w:color="auto" w:fill="F8F0C4" w:themeFill="accent6" w:themeFillTint="66"/>
      </w:tcPr>
    </w:tblStylePr>
    <w:tblStylePr w:type="band1Horz">
      <w:tblPr/>
      <w:tcPr>
        <w:shd w:val="clear" w:color="auto" w:fill="F7EDB5"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rsid w:val="00225534"/>
    <w:pPr>
      <w:spacing w:line="240" w:lineRule="auto"/>
    </w:pPr>
  </w:style>
  <w:style w:type="character" w:customStyle="1" w:styleId="KommentartekstTegn">
    <w:name w:val="Kommentartekst Tegn"/>
    <w:basedOn w:val="Standardskrifttypeiafsnit"/>
    <w:link w:val="Kommentartekst"/>
    <w:uiPriority w:val="99"/>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00874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1" w:themeFillShade="BF"/>
      </w:tcPr>
    </w:tblStylePr>
    <w:tblStylePr w:type="band1Vert">
      <w:tblPr/>
      <w:tcPr>
        <w:tcBorders>
          <w:top w:val="nil"/>
          <w:left w:val="nil"/>
          <w:bottom w:val="nil"/>
          <w:right w:val="nil"/>
          <w:insideH w:val="nil"/>
          <w:insideV w:val="nil"/>
        </w:tcBorders>
        <w:shd w:val="clear" w:color="auto" w:fill="006537" w:themeFill="accent1" w:themeFillShade="BF"/>
      </w:tcPr>
    </w:tblStylePr>
    <w:tblStylePr w:type="band1Horz">
      <w:tblPr/>
      <w:tcPr>
        <w:tcBorders>
          <w:top w:val="nil"/>
          <w:left w:val="nil"/>
          <w:bottom w:val="nil"/>
          <w:right w:val="nil"/>
          <w:insideH w:val="nil"/>
          <w:insideV w:val="nil"/>
        </w:tcBorders>
        <w:shd w:val="clear" w:color="auto" w:fill="006537"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0085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3" w:themeFillShade="BF"/>
      </w:tcPr>
    </w:tblStylePr>
    <w:tblStylePr w:type="band1Vert">
      <w:tblPr/>
      <w:tcPr>
        <w:tcBorders>
          <w:top w:val="nil"/>
          <w:left w:val="nil"/>
          <w:bottom w:val="nil"/>
          <w:right w:val="nil"/>
          <w:insideH w:val="nil"/>
          <w:insideV w:val="nil"/>
        </w:tcBorders>
        <w:shd w:val="clear" w:color="auto" w:fill="006381" w:themeFill="accent3" w:themeFillShade="BF"/>
      </w:tcPr>
    </w:tblStylePr>
    <w:tblStylePr w:type="band1Horz">
      <w:tblPr/>
      <w:tcPr>
        <w:tcBorders>
          <w:top w:val="nil"/>
          <w:left w:val="nil"/>
          <w:bottom w:val="nil"/>
          <w:right w:val="nil"/>
          <w:insideH w:val="nil"/>
          <w:insideV w:val="nil"/>
        </w:tcBorders>
        <w:shd w:val="clear" w:color="auto" w:fill="006381"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33B9C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4" w:themeFillShade="BF"/>
      </w:tcPr>
    </w:tblStylePr>
    <w:tblStylePr w:type="band1Vert">
      <w:tblPr/>
      <w:tcPr>
        <w:tcBorders>
          <w:top w:val="nil"/>
          <w:left w:val="nil"/>
          <w:bottom w:val="nil"/>
          <w:right w:val="nil"/>
          <w:insideH w:val="nil"/>
          <w:insideV w:val="nil"/>
        </w:tcBorders>
        <w:shd w:val="clear" w:color="auto" w:fill="268A92" w:themeFill="accent4" w:themeFillShade="BF"/>
      </w:tcPr>
    </w:tblStylePr>
    <w:tblStylePr w:type="band1Horz">
      <w:tblPr/>
      <w:tcPr>
        <w:tcBorders>
          <w:top w:val="nil"/>
          <w:left w:val="nil"/>
          <w:bottom w:val="nil"/>
          <w:right w:val="nil"/>
          <w:insideH w:val="nil"/>
          <w:insideV w:val="nil"/>
        </w:tcBorders>
        <w:shd w:val="clear" w:color="auto" w:fill="268A92"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ABBC3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D1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F8C2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F8C2A" w:themeFill="accent5" w:themeFillShade="BF"/>
      </w:tcPr>
    </w:tblStylePr>
    <w:tblStylePr w:type="band1Vert">
      <w:tblPr/>
      <w:tcPr>
        <w:tcBorders>
          <w:top w:val="nil"/>
          <w:left w:val="nil"/>
          <w:bottom w:val="nil"/>
          <w:right w:val="nil"/>
          <w:insideH w:val="nil"/>
          <w:insideV w:val="nil"/>
        </w:tcBorders>
        <w:shd w:val="clear" w:color="auto" w:fill="7F8C2A" w:themeFill="accent5" w:themeFillShade="BF"/>
      </w:tcPr>
    </w:tblStylePr>
    <w:tblStylePr w:type="band1Horz">
      <w:tblPr/>
      <w:tcPr>
        <w:tcBorders>
          <w:top w:val="nil"/>
          <w:left w:val="nil"/>
          <w:bottom w:val="nil"/>
          <w:right w:val="nil"/>
          <w:insideH w:val="nil"/>
          <w:insideV w:val="nil"/>
        </w:tcBorders>
        <w:shd w:val="clear" w:color="auto" w:fill="7F8C2A"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EFDB6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8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6C71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6C71D" w:themeFill="accent6" w:themeFillShade="BF"/>
      </w:tcPr>
    </w:tblStylePr>
    <w:tblStylePr w:type="band1Vert">
      <w:tblPr/>
      <w:tcPr>
        <w:tcBorders>
          <w:top w:val="nil"/>
          <w:left w:val="nil"/>
          <w:bottom w:val="nil"/>
          <w:right w:val="nil"/>
          <w:insideH w:val="nil"/>
          <w:insideV w:val="nil"/>
        </w:tcBorders>
        <w:shd w:val="clear" w:color="auto" w:fill="E6C71D" w:themeFill="accent6" w:themeFillShade="BF"/>
      </w:tcPr>
    </w:tblStylePr>
    <w:tblStylePr w:type="band1Horz">
      <w:tblPr/>
      <w:tcPr>
        <w:tcBorders>
          <w:top w:val="nil"/>
          <w:left w:val="nil"/>
          <w:bottom w:val="nil"/>
          <w:right w:val="nil"/>
          <w:insideH w:val="nil"/>
          <w:insideV w:val="nil"/>
        </w:tcBorders>
        <w:shd w:val="clear" w:color="auto" w:fill="E6C71D"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Mailsignatur">
    <w:name w:val="E-mail Signature"/>
    <w:basedOn w:val="Normal"/>
    <w:link w:val="MailsignaturTegn"/>
    <w:uiPriority w:val="99"/>
    <w:semiHidden/>
    <w:rsid w:val="00225534"/>
    <w:pPr>
      <w:spacing w:line="240" w:lineRule="auto"/>
    </w:pPr>
  </w:style>
  <w:style w:type="character" w:customStyle="1" w:styleId="MailsignaturTegn">
    <w:name w:val="Mailsignatur Tegn"/>
    <w:basedOn w:val="Standardskrifttypeiafsnit"/>
    <w:link w:val="Mailsignatur"/>
    <w:semiHidden/>
    <w:rsid w:val="00225534"/>
    <w:rPr>
      <w:rFonts w:ascii="Georgia" w:hAnsi="Georgia"/>
      <w:szCs w:val="24"/>
    </w:rPr>
  </w:style>
  <w:style w:type="character" w:styleId="Fremhv">
    <w:name w:val="Emphasis"/>
    <w:basedOn w:val="Standardskrifttypeiafsnit"/>
    <w:uiPriority w:val="20"/>
    <w:qFormat/>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pPr>
      <w:spacing w:line="240" w:lineRule="auto"/>
    </w:pPr>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pPr>
      <w:spacing w:line="240" w:lineRule="auto"/>
    </w:pPr>
    <w:rPr>
      <w:i/>
      <w:iCs/>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pPr>
      <w:spacing w:line="240" w:lineRule="auto"/>
    </w:pPr>
    <w:rPr>
      <w:rFonts w:ascii="Consolas" w:hAnsi="Consolas" w:cs="Consolas"/>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
    <w:semiHidden/>
    <w:rsid w:val="00225534"/>
    <w:rPr>
      <w:color w:val="0000FF" w:themeColor="hyperlink"/>
      <w:u w:val="single"/>
    </w:rPr>
  </w:style>
  <w:style w:type="paragraph" w:styleId="Indeks1">
    <w:name w:val="index 1"/>
    <w:basedOn w:val="Normal"/>
    <w:next w:val="Normal"/>
    <w:autoRedefine/>
    <w:uiPriority w:val="99"/>
    <w:semiHidden/>
    <w:rsid w:val="00225534"/>
    <w:pPr>
      <w:spacing w:line="240" w:lineRule="auto"/>
      <w:ind w:left="200" w:hanging="200"/>
    </w:pPr>
  </w:style>
  <w:style w:type="paragraph" w:styleId="Indeks2">
    <w:name w:val="index 2"/>
    <w:basedOn w:val="Normal"/>
    <w:next w:val="Normal"/>
    <w:autoRedefine/>
    <w:uiPriority w:val="99"/>
    <w:semiHidden/>
    <w:rsid w:val="00225534"/>
    <w:pPr>
      <w:spacing w:line="240" w:lineRule="auto"/>
      <w:ind w:left="400" w:hanging="200"/>
    </w:pPr>
  </w:style>
  <w:style w:type="paragraph" w:styleId="Indeks3">
    <w:name w:val="index 3"/>
    <w:basedOn w:val="Normal"/>
    <w:next w:val="Normal"/>
    <w:autoRedefine/>
    <w:uiPriority w:val="99"/>
    <w:semiHidden/>
    <w:rsid w:val="00225534"/>
    <w:pPr>
      <w:spacing w:line="240" w:lineRule="auto"/>
      <w:ind w:left="600" w:hanging="200"/>
    </w:pPr>
  </w:style>
  <w:style w:type="paragraph" w:styleId="Indeks4">
    <w:name w:val="index 4"/>
    <w:basedOn w:val="Normal"/>
    <w:next w:val="Normal"/>
    <w:autoRedefine/>
    <w:uiPriority w:val="99"/>
    <w:semiHidden/>
    <w:rsid w:val="00225534"/>
    <w:pPr>
      <w:spacing w:line="240" w:lineRule="auto"/>
      <w:ind w:left="800" w:hanging="200"/>
    </w:pPr>
  </w:style>
  <w:style w:type="paragraph" w:styleId="Indeks5">
    <w:name w:val="index 5"/>
    <w:basedOn w:val="Normal"/>
    <w:next w:val="Normal"/>
    <w:autoRedefine/>
    <w:uiPriority w:val="99"/>
    <w:semiHidden/>
    <w:rsid w:val="00225534"/>
    <w:pPr>
      <w:spacing w:line="240" w:lineRule="auto"/>
      <w:ind w:left="1000" w:hanging="200"/>
    </w:pPr>
  </w:style>
  <w:style w:type="paragraph" w:styleId="Indeks6">
    <w:name w:val="index 6"/>
    <w:basedOn w:val="Normal"/>
    <w:next w:val="Normal"/>
    <w:autoRedefine/>
    <w:uiPriority w:val="99"/>
    <w:semiHidden/>
    <w:rsid w:val="00225534"/>
    <w:pPr>
      <w:spacing w:line="240" w:lineRule="auto"/>
      <w:ind w:left="1200" w:hanging="200"/>
    </w:pPr>
  </w:style>
  <w:style w:type="paragraph" w:styleId="Indeks7">
    <w:name w:val="index 7"/>
    <w:basedOn w:val="Normal"/>
    <w:next w:val="Normal"/>
    <w:autoRedefine/>
    <w:uiPriority w:val="99"/>
    <w:semiHidden/>
    <w:rsid w:val="00225534"/>
    <w:pPr>
      <w:spacing w:line="240" w:lineRule="auto"/>
      <w:ind w:left="1400" w:hanging="200"/>
    </w:pPr>
  </w:style>
  <w:style w:type="paragraph" w:styleId="Indeks8">
    <w:name w:val="index 8"/>
    <w:basedOn w:val="Normal"/>
    <w:next w:val="Normal"/>
    <w:autoRedefine/>
    <w:uiPriority w:val="99"/>
    <w:semiHidden/>
    <w:rsid w:val="00225534"/>
    <w:pPr>
      <w:spacing w:line="240" w:lineRule="auto"/>
      <w:ind w:left="1600" w:hanging="200"/>
    </w:pPr>
  </w:style>
  <w:style w:type="paragraph" w:styleId="Indeks9">
    <w:name w:val="index 9"/>
    <w:basedOn w:val="Normal"/>
    <w:next w:val="Normal"/>
    <w:autoRedefine/>
    <w:uiPriority w:val="99"/>
    <w:semiHidden/>
    <w:rsid w:val="00225534"/>
    <w:pPr>
      <w:spacing w:line="240" w:lineRule="auto"/>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00874B" w:themeColor="accent1"/>
    </w:rPr>
  </w:style>
  <w:style w:type="paragraph" w:styleId="Strktcitat">
    <w:name w:val="Intense Quote"/>
    <w:basedOn w:val="Normal"/>
    <w:next w:val="Normal"/>
    <w:link w:val="StrktcitatTegn"/>
    <w:uiPriority w:val="99"/>
    <w:semiHidden/>
    <w:qFormat/>
    <w:rsid w:val="00225534"/>
    <w:pPr>
      <w:pBdr>
        <w:bottom w:val="single" w:sz="4" w:space="4" w:color="00874B" w:themeColor="accent1"/>
      </w:pBdr>
      <w:spacing w:before="200" w:after="280"/>
      <w:ind w:left="936" w:right="936"/>
    </w:pPr>
    <w:rPr>
      <w:b/>
      <w:bCs/>
      <w:i/>
      <w:iCs/>
      <w:color w:val="00874B" w:themeColor="accent1"/>
    </w:rPr>
  </w:style>
  <w:style w:type="character" w:customStyle="1" w:styleId="StrktcitatTegn">
    <w:name w:val="Stærkt citat Tegn"/>
    <w:basedOn w:val="Standardskrifttypeiafsnit"/>
    <w:link w:val="Strktcitat"/>
    <w:uiPriority w:val="30"/>
    <w:rsid w:val="00225534"/>
    <w:rPr>
      <w:rFonts w:ascii="Georgia" w:hAnsi="Georgia"/>
      <w:b/>
      <w:bCs/>
      <w:i/>
      <w:iCs/>
      <w:color w:val="00874B" w:themeColor="accent1"/>
      <w:szCs w:val="24"/>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18" w:space="0" w:color="00874B" w:themeColor="accent1"/>
          <w:right w:val="single" w:sz="8" w:space="0" w:color="00874B" w:themeColor="accent1"/>
          <w:insideH w:val="nil"/>
          <w:insideV w:val="single" w:sz="8" w:space="0" w:color="00874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insideH w:val="nil"/>
          <w:insideV w:val="single" w:sz="8" w:space="0" w:color="00874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shd w:val="clear" w:color="auto" w:fill="A2FFD5" w:themeFill="accent1" w:themeFillTint="3F"/>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shd w:val="clear" w:color="auto" w:fill="A2FFD5" w:themeFill="accent1" w:themeFillTint="3F"/>
      </w:tcPr>
    </w:tblStylePr>
    <w:tblStylePr w:type="band2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insideH w:val="single" w:sz="8" w:space="0" w:color="0085AD" w:themeColor="accent3"/>
        <w:insideV w:val="single" w:sz="8" w:space="0" w:color="0085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3"/>
          <w:left w:val="single" w:sz="8" w:space="0" w:color="0085AD" w:themeColor="accent3"/>
          <w:bottom w:val="single" w:sz="18" w:space="0" w:color="0085AD" w:themeColor="accent3"/>
          <w:right w:val="single" w:sz="8" w:space="0" w:color="0085AD" w:themeColor="accent3"/>
          <w:insideH w:val="nil"/>
          <w:insideV w:val="single" w:sz="8" w:space="0" w:color="0085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3"/>
          <w:left w:val="single" w:sz="8" w:space="0" w:color="0085AD" w:themeColor="accent3"/>
          <w:bottom w:val="single" w:sz="8" w:space="0" w:color="0085AD" w:themeColor="accent3"/>
          <w:right w:val="single" w:sz="8" w:space="0" w:color="0085AD" w:themeColor="accent3"/>
          <w:insideH w:val="nil"/>
          <w:insideV w:val="single" w:sz="8" w:space="0" w:color="0085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tblStylePr w:type="band1Vert">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shd w:val="clear" w:color="auto" w:fill="ABEBFF" w:themeFill="accent3" w:themeFillTint="3F"/>
      </w:tcPr>
    </w:tblStylePr>
    <w:tblStylePr w:type="band1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insideV w:val="single" w:sz="8" w:space="0" w:color="0085AD" w:themeColor="accent3"/>
        </w:tcBorders>
        <w:shd w:val="clear" w:color="auto" w:fill="ABEBFF" w:themeFill="accent3" w:themeFillTint="3F"/>
      </w:tcPr>
    </w:tblStylePr>
    <w:tblStylePr w:type="band2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insideV w:val="single" w:sz="8" w:space="0" w:color="0085AD"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18" w:space="0" w:color="33B9C4" w:themeColor="accent4"/>
          <w:right w:val="single" w:sz="8" w:space="0" w:color="33B9C4" w:themeColor="accent4"/>
          <w:insideH w:val="nil"/>
          <w:insideV w:val="single" w:sz="8" w:space="0" w:color="33B9C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insideH w:val="nil"/>
          <w:insideV w:val="single" w:sz="8" w:space="0" w:color="33B9C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shd w:val="clear" w:color="auto" w:fill="CBEEF1" w:themeFill="accent4" w:themeFillTint="3F"/>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shd w:val="clear" w:color="auto" w:fill="CBEEF1" w:themeFill="accent4" w:themeFillTint="3F"/>
      </w:tcPr>
    </w:tblStylePr>
    <w:tblStylePr w:type="band2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insideH w:val="single" w:sz="8" w:space="0" w:color="ABBC38" w:themeColor="accent5"/>
        <w:insideV w:val="single" w:sz="8" w:space="0" w:color="ABBC3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BC38" w:themeColor="accent5"/>
          <w:left w:val="single" w:sz="8" w:space="0" w:color="ABBC38" w:themeColor="accent5"/>
          <w:bottom w:val="single" w:sz="18" w:space="0" w:color="ABBC38" w:themeColor="accent5"/>
          <w:right w:val="single" w:sz="8" w:space="0" w:color="ABBC38" w:themeColor="accent5"/>
          <w:insideH w:val="nil"/>
          <w:insideV w:val="single" w:sz="8" w:space="0" w:color="ABBC3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BC38" w:themeColor="accent5"/>
          <w:left w:val="single" w:sz="8" w:space="0" w:color="ABBC38" w:themeColor="accent5"/>
          <w:bottom w:val="single" w:sz="8" w:space="0" w:color="ABBC38" w:themeColor="accent5"/>
          <w:right w:val="single" w:sz="8" w:space="0" w:color="ABBC38" w:themeColor="accent5"/>
          <w:insideH w:val="nil"/>
          <w:insideV w:val="single" w:sz="8" w:space="0" w:color="ABBC3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tblStylePr w:type="band1Vert">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shd w:val="clear" w:color="auto" w:fill="EBF0CC" w:themeFill="accent5" w:themeFillTint="3F"/>
      </w:tcPr>
    </w:tblStylePr>
    <w:tblStylePr w:type="band1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insideV w:val="single" w:sz="8" w:space="0" w:color="ABBC38" w:themeColor="accent5"/>
        </w:tcBorders>
        <w:shd w:val="clear" w:color="auto" w:fill="EBF0CC" w:themeFill="accent5" w:themeFillTint="3F"/>
      </w:tcPr>
    </w:tblStylePr>
    <w:tblStylePr w:type="band2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insideV w:val="single" w:sz="8" w:space="0" w:color="ABBC38"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insideH w:val="single" w:sz="8" w:space="0" w:color="EFDB6C" w:themeColor="accent6"/>
        <w:insideV w:val="single" w:sz="8" w:space="0" w:color="EFDB6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DB6C" w:themeColor="accent6"/>
          <w:left w:val="single" w:sz="8" w:space="0" w:color="EFDB6C" w:themeColor="accent6"/>
          <w:bottom w:val="single" w:sz="18" w:space="0" w:color="EFDB6C" w:themeColor="accent6"/>
          <w:right w:val="single" w:sz="8" w:space="0" w:color="EFDB6C" w:themeColor="accent6"/>
          <w:insideH w:val="nil"/>
          <w:insideV w:val="single" w:sz="8" w:space="0" w:color="EFDB6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DB6C" w:themeColor="accent6"/>
          <w:left w:val="single" w:sz="8" w:space="0" w:color="EFDB6C" w:themeColor="accent6"/>
          <w:bottom w:val="single" w:sz="8" w:space="0" w:color="EFDB6C" w:themeColor="accent6"/>
          <w:right w:val="single" w:sz="8" w:space="0" w:color="EFDB6C" w:themeColor="accent6"/>
          <w:insideH w:val="nil"/>
          <w:insideV w:val="single" w:sz="8" w:space="0" w:color="EFDB6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tblStylePr w:type="band1Vert">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shd w:val="clear" w:color="auto" w:fill="FBF6DA" w:themeFill="accent6" w:themeFillTint="3F"/>
      </w:tcPr>
    </w:tblStylePr>
    <w:tblStylePr w:type="band1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insideV w:val="single" w:sz="8" w:space="0" w:color="EFDB6C" w:themeColor="accent6"/>
        </w:tcBorders>
        <w:shd w:val="clear" w:color="auto" w:fill="FBF6DA" w:themeFill="accent6" w:themeFillTint="3F"/>
      </w:tcPr>
    </w:tblStylePr>
    <w:tblStylePr w:type="band2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insideV w:val="single" w:sz="8" w:space="0" w:color="EFDB6C"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pPr>
        <w:spacing w:before="0" w:after="0" w:line="240" w:lineRule="auto"/>
      </w:pPr>
      <w:rPr>
        <w:b/>
        <w:bCs/>
        <w:color w:val="FFFFFF" w:themeColor="background1"/>
      </w:rPr>
      <w:tblPr/>
      <w:tcPr>
        <w:shd w:val="clear" w:color="auto" w:fill="00874B" w:themeFill="accent1"/>
      </w:tcPr>
    </w:tblStylePr>
    <w:tblStylePr w:type="lastRow">
      <w:pPr>
        <w:spacing w:before="0" w:after="0" w:line="240" w:lineRule="auto"/>
      </w:pPr>
      <w:rPr>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tcBorders>
      </w:tcPr>
    </w:tblStylePr>
    <w:tblStylePr w:type="firstCol">
      <w:rPr>
        <w:b/>
        <w:bCs/>
      </w:rPr>
    </w:tblStylePr>
    <w:tblStylePr w:type="lastCol">
      <w:rPr>
        <w:b/>
        <w:bCs/>
      </w:r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tblBorders>
    </w:tblPr>
    <w:tblStylePr w:type="firstRow">
      <w:pPr>
        <w:spacing w:before="0" w:after="0" w:line="240" w:lineRule="auto"/>
      </w:pPr>
      <w:rPr>
        <w:b/>
        <w:bCs/>
        <w:color w:val="FFFFFF" w:themeColor="background1"/>
      </w:rPr>
      <w:tblPr/>
      <w:tcPr>
        <w:shd w:val="clear" w:color="auto" w:fill="0085AD" w:themeFill="accent3"/>
      </w:tcPr>
    </w:tblStylePr>
    <w:tblStylePr w:type="lastRow">
      <w:pPr>
        <w:spacing w:before="0" w:after="0" w:line="240" w:lineRule="auto"/>
      </w:pPr>
      <w:rPr>
        <w:b/>
        <w:bCs/>
      </w:rPr>
      <w:tblPr/>
      <w:tcPr>
        <w:tcBorders>
          <w:top w:val="double" w:sz="6" w:space="0" w:color="0085AD" w:themeColor="accent3"/>
          <w:left w:val="single" w:sz="8" w:space="0" w:color="0085AD" w:themeColor="accent3"/>
          <w:bottom w:val="single" w:sz="8" w:space="0" w:color="0085AD" w:themeColor="accent3"/>
          <w:right w:val="single" w:sz="8" w:space="0" w:color="0085AD" w:themeColor="accent3"/>
        </w:tcBorders>
      </w:tcPr>
    </w:tblStylePr>
    <w:tblStylePr w:type="firstCol">
      <w:rPr>
        <w:b/>
        <w:bCs/>
      </w:rPr>
    </w:tblStylePr>
    <w:tblStylePr w:type="lastCol">
      <w:rPr>
        <w:b/>
        <w:bCs/>
      </w:rPr>
    </w:tblStylePr>
    <w:tblStylePr w:type="band1Vert">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tblStylePr w:type="band1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pPr>
        <w:spacing w:before="0" w:after="0" w:line="240" w:lineRule="auto"/>
      </w:pPr>
      <w:rPr>
        <w:b/>
        <w:bCs/>
        <w:color w:val="FFFFFF" w:themeColor="background1"/>
      </w:rPr>
      <w:tblPr/>
      <w:tcPr>
        <w:shd w:val="clear" w:color="auto" w:fill="33B9C4" w:themeFill="accent4"/>
      </w:tcPr>
    </w:tblStylePr>
    <w:tblStylePr w:type="lastRow">
      <w:pPr>
        <w:spacing w:before="0" w:after="0" w:line="240" w:lineRule="auto"/>
      </w:pPr>
      <w:rPr>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tcBorders>
      </w:tcPr>
    </w:tblStylePr>
    <w:tblStylePr w:type="firstCol">
      <w:rPr>
        <w:b/>
        <w:bCs/>
      </w:rPr>
    </w:tblStylePr>
    <w:tblStylePr w:type="lastCol">
      <w:rPr>
        <w:b/>
        <w:bCs/>
      </w:r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tblBorders>
    </w:tblPr>
    <w:tblStylePr w:type="firstRow">
      <w:pPr>
        <w:spacing w:before="0" w:after="0" w:line="240" w:lineRule="auto"/>
      </w:pPr>
      <w:rPr>
        <w:b/>
        <w:bCs/>
        <w:color w:val="FFFFFF" w:themeColor="background1"/>
      </w:rPr>
      <w:tblPr/>
      <w:tcPr>
        <w:shd w:val="clear" w:color="auto" w:fill="ABBC38" w:themeFill="accent5"/>
      </w:tcPr>
    </w:tblStylePr>
    <w:tblStylePr w:type="lastRow">
      <w:pPr>
        <w:spacing w:before="0" w:after="0" w:line="240" w:lineRule="auto"/>
      </w:pPr>
      <w:rPr>
        <w:b/>
        <w:bCs/>
      </w:rPr>
      <w:tblPr/>
      <w:tcPr>
        <w:tcBorders>
          <w:top w:val="double" w:sz="6" w:space="0" w:color="ABBC38" w:themeColor="accent5"/>
          <w:left w:val="single" w:sz="8" w:space="0" w:color="ABBC38" w:themeColor="accent5"/>
          <w:bottom w:val="single" w:sz="8" w:space="0" w:color="ABBC38" w:themeColor="accent5"/>
          <w:right w:val="single" w:sz="8" w:space="0" w:color="ABBC38" w:themeColor="accent5"/>
        </w:tcBorders>
      </w:tcPr>
    </w:tblStylePr>
    <w:tblStylePr w:type="firstCol">
      <w:rPr>
        <w:b/>
        <w:bCs/>
      </w:rPr>
    </w:tblStylePr>
    <w:tblStylePr w:type="lastCol">
      <w:rPr>
        <w:b/>
        <w:bCs/>
      </w:rPr>
    </w:tblStylePr>
    <w:tblStylePr w:type="band1Vert">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tblStylePr w:type="band1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tblBorders>
    </w:tblPr>
    <w:tblStylePr w:type="firstRow">
      <w:pPr>
        <w:spacing w:before="0" w:after="0" w:line="240" w:lineRule="auto"/>
      </w:pPr>
      <w:rPr>
        <w:b/>
        <w:bCs/>
        <w:color w:val="FFFFFF" w:themeColor="background1"/>
      </w:rPr>
      <w:tblPr/>
      <w:tcPr>
        <w:shd w:val="clear" w:color="auto" w:fill="EFDB6C" w:themeFill="accent6"/>
      </w:tcPr>
    </w:tblStylePr>
    <w:tblStylePr w:type="lastRow">
      <w:pPr>
        <w:spacing w:before="0" w:after="0" w:line="240" w:lineRule="auto"/>
      </w:pPr>
      <w:rPr>
        <w:b/>
        <w:bCs/>
      </w:rPr>
      <w:tblPr/>
      <w:tcPr>
        <w:tcBorders>
          <w:top w:val="double" w:sz="6" w:space="0" w:color="EFDB6C" w:themeColor="accent6"/>
          <w:left w:val="single" w:sz="8" w:space="0" w:color="EFDB6C" w:themeColor="accent6"/>
          <w:bottom w:val="single" w:sz="8" w:space="0" w:color="EFDB6C" w:themeColor="accent6"/>
          <w:right w:val="single" w:sz="8" w:space="0" w:color="EFDB6C" w:themeColor="accent6"/>
        </w:tcBorders>
      </w:tcPr>
    </w:tblStylePr>
    <w:tblStylePr w:type="firstCol">
      <w:rPr>
        <w:b/>
        <w:bCs/>
      </w:rPr>
    </w:tblStylePr>
    <w:tblStylePr w:type="lastCol">
      <w:rPr>
        <w:b/>
        <w:bCs/>
      </w:rPr>
    </w:tblStylePr>
    <w:tblStylePr w:type="band1Vert">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tblStylePr w:type="band1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225534"/>
    <w:pPr>
      <w:spacing w:line="240" w:lineRule="auto"/>
    </w:pPr>
    <w:rPr>
      <w:color w:val="006537" w:themeColor="accent1" w:themeShade="BF"/>
    </w:rPr>
    <w:tblPr>
      <w:tblStyleRowBandSize w:val="1"/>
      <w:tblStyleColBandSize w:val="1"/>
      <w:tblBorders>
        <w:top w:val="single" w:sz="8" w:space="0" w:color="00874B" w:themeColor="accent1"/>
        <w:bottom w:val="single" w:sz="8" w:space="0" w:color="00874B" w:themeColor="accent1"/>
      </w:tblBorders>
    </w:tblPr>
    <w:tblStylePr w:type="fir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la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left w:val="nil"/>
          <w:right w:val="nil"/>
          <w:insideH w:val="nil"/>
          <w:insideV w:val="nil"/>
        </w:tcBorders>
        <w:shd w:val="clear" w:color="auto" w:fill="A2FFD5"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006381" w:themeColor="accent3" w:themeShade="BF"/>
    </w:rPr>
    <w:tblPr>
      <w:tblStyleRowBandSize w:val="1"/>
      <w:tblStyleColBandSize w:val="1"/>
      <w:tblBorders>
        <w:top w:val="single" w:sz="8" w:space="0" w:color="0085AD" w:themeColor="accent3"/>
        <w:bottom w:val="single" w:sz="8" w:space="0" w:color="0085AD" w:themeColor="accent3"/>
      </w:tblBorders>
    </w:tblPr>
    <w:tblStylePr w:type="firstRow">
      <w:pPr>
        <w:spacing w:before="0" w:after="0" w:line="240" w:lineRule="auto"/>
      </w:pPr>
      <w:rPr>
        <w:b/>
        <w:bCs/>
      </w:rPr>
      <w:tblPr/>
      <w:tcPr>
        <w:tcBorders>
          <w:top w:val="single" w:sz="8" w:space="0" w:color="0085AD" w:themeColor="accent3"/>
          <w:left w:val="nil"/>
          <w:bottom w:val="single" w:sz="8" w:space="0" w:color="0085AD" w:themeColor="accent3"/>
          <w:right w:val="nil"/>
          <w:insideH w:val="nil"/>
          <w:insideV w:val="nil"/>
        </w:tcBorders>
      </w:tcPr>
    </w:tblStylePr>
    <w:tblStylePr w:type="lastRow">
      <w:pPr>
        <w:spacing w:before="0" w:after="0" w:line="240" w:lineRule="auto"/>
      </w:pPr>
      <w:rPr>
        <w:b/>
        <w:bCs/>
      </w:rPr>
      <w:tblPr/>
      <w:tcPr>
        <w:tcBorders>
          <w:top w:val="single" w:sz="8" w:space="0" w:color="0085AD" w:themeColor="accent3"/>
          <w:left w:val="nil"/>
          <w:bottom w:val="single" w:sz="8" w:space="0" w:color="0085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3" w:themeFillTint="3F"/>
      </w:tcPr>
    </w:tblStylePr>
    <w:tblStylePr w:type="band1Horz">
      <w:tblPr/>
      <w:tcPr>
        <w:tcBorders>
          <w:left w:val="nil"/>
          <w:right w:val="nil"/>
          <w:insideH w:val="nil"/>
          <w:insideV w:val="nil"/>
        </w:tcBorders>
        <w:shd w:val="clear" w:color="auto" w:fill="ABEBFF"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268A92" w:themeColor="accent4" w:themeShade="BF"/>
    </w:rPr>
    <w:tblPr>
      <w:tblStyleRowBandSize w:val="1"/>
      <w:tblStyleColBandSize w:val="1"/>
      <w:tblBorders>
        <w:top w:val="single" w:sz="8" w:space="0" w:color="33B9C4" w:themeColor="accent4"/>
        <w:bottom w:val="single" w:sz="8" w:space="0" w:color="33B9C4" w:themeColor="accent4"/>
      </w:tblBorders>
    </w:tblPr>
    <w:tblStylePr w:type="fir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la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left w:val="nil"/>
          <w:right w:val="nil"/>
          <w:insideH w:val="nil"/>
          <w:insideV w:val="nil"/>
        </w:tcBorders>
        <w:shd w:val="clear" w:color="auto" w:fill="CBEEF1"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7F8C2A" w:themeColor="accent5" w:themeShade="BF"/>
    </w:rPr>
    <w:tblPr>
      <w:tblStyleRowBandSize w:val="1"/>
      <w:tblStyleColBandSize w:val="1"/>
      <w:tblBorders>
        <w:top w:val="single" w:sz="8" w:space="0" w:color="ABBC38" w:themeColor="accent5"/>
        <w:bottom w:val="single" w:sz="8" w:space="0" w:color="ABBC38" w:themeColor="accent5"/>
      </w:tblBorders>
    </w:tblPr>
    <w:tblStylePr w:type="firstRow">
      <w:pPr>
        <w:spacing w:before="0" w:after="0" w:line="240" w:lineRule="auto"/>
      </w:pPr>
      <w:rPr>
        <w:b/>
        <w:bCs/>
      </w:rPr>
      <w:tblPr/>
      <w:tcPr>
        <w:tcBorders>
          <w:top w:val="single" w:sz="8" w:space="0" w:color="ABBC38" w:themeColor="accent5"/>
          <w:left w:val="nil"/>
          <w:bottom w:val="single" w:sz="8" w:space="0" w:color="ABBC38" w:themeColor="accent5"/>
          <w:right w:val="nil"/>
          <w:insideH w:val="nil"/>
          <w:insideV w:val="nil"/>
        </w:tcBorders>
      </w:tcPr>
    </w:tblStylePr>
    <w:tblStylePr w:type="lastRow">
      <w:pPr>
        <w:spacing w:before="0" w:after="0" w:line="240" w:lineRule="auto"/>
      </w:pPr>
      <w:rPr>
        <w:b/>
        <w:bCs/>
      </w:rPr>
      <w:tblPr/>
      <w:tcPr>
        <w:tcBorders>
          <w:top w:val="single" w:sz="8" w:space="0" w:color="ABBC38" w:themeColor="accent5"/>
          <w:left w:val="nil"/>
          <w:bottom w:val="single" w:sz="8" w:space="0" w:color="ABBC3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CC" w:themeFill="accent5" w:themeFillTint="3F"/>
      </w:tcPr>
    </w:tblStylePr>
    <w:tblStylePr w:type="band1Horz">
      <w:tblPr/>
      <w:tcPr>
        <w:tcBorders>
          <w:left w:val="nil"/>
          <w:right w:val="nil"/>
          <w:insideH w:val="nil"/>
          <w:insideV w:val="nil"/>
        </w:tcBorders>
        <w:shd w:val="clear" w:color="auto" w:fill="EBF0CC"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E6C71D" w:themeColor="accent6" w:themeShade="BF"/>
    </w:rPr>
    <w:tblPr>
      <w:tblStyleRowBandSize w:val="1"/>
      <w:tblStyleColBandSize w:val="1"/>
      <w:tblBorders>
        <w:top w:val="single" w:sz="8" w:space="0" w:color="EFDB6C" w:themeColor="accent6"/>
        <w:bottom w:val="single" w:sz="8" w:space="0" w:color="EFDB6C" w:themeColor="accent6"/>
      </w:tblBorders>
    </w:tblPr>
    <w:tblStylePr w:type="firstRow">
      <w:pPr>
        <w:spacing w:before="0" w:after="0" w:line="240" w:lineRule="auto"/>
      </w:pPr>
      <w:rPr>
        <w:b/>
        <w:bCs/>
      </w:rPr>
      <w:tblPr/>
      <w:tcPr>
        <w:tcBorders>
          <w:top w:val="single" w:sz="8" w:space="0" w:color="EFDB6C" w:themeColor="accent6"/>
          <w:left w:val="nil"/>
          <w:bottom w:val="single" w:sz="8" w:space="0" w:color="EFDB6C" w:themeColor="accent6"/>
          <w:right w:val="nil"/>
          <w:insideH w:val="nil"/>
          <w:insideV w:val="nil"/>
        </w:tcBorders>
      </w:tcPr>
    </w:tblStylePr>
    <w:tblStylePr w:type="lastRow">
      <w:pPr>
        <w:spacing w:before="0" w:after="0" w:line="240" w:lineRule="auto"/>
      </w:pPr>
      <w:rPr>
        <w:b/>
        <w:bCs/>
      </w:rPr>
      <w:tblPr/>
      <w:tcPr>
        <w:tcBorders>
          <w:top w:val="single" w:sz="8" w:space="0" w:color="EFDB6C" w:themeColor="accent6"/>
          <w:left w:val="nil"/>
          <w:bottom w:val="single" w:sz="8" w:space="0" w:color="EFDB6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6DA" w:themeFill="accent6" w:themeFillTint="3F"/>
      </w:tcPr>
    </w:tblStylePr>
    <w:tblStylePr w:type="band1Horz">
      <w:tblPr/>
      <w:tcPr>
        <w:tcBorders>
          <w:left w:val="nil"/>
          <w:right w:val="nil"/>
          <w:insideH w:val="nil"/>
          <w:insideV w:val="nil"/>
        </w:tcBorders>
        <w:shd w:val="clear" w:color="auto" w:fill="FBF6DA" w:themeFill="accent6" w:themeFillTint="3F"/>
      </w:tcPr>
    </w:tblStylePr>
  </w:style>
  <w:style w:type="character" w:styleId="Linjenummer">
    <w:name w:val="line number"/>
    <w:basedOn w:val="Standardskrifttypeiafsnit"/>
    <w:uiPriority w:val="99"/>
    <w:semiHidden/>
    <w:rsid w:val="00225534"/>
  </w:style>
  <w:style w:type="paragraph" w:styleId="Liste">
    <w:name w:val="List"/>
    <w:basedOn w:val="Normal"/>
    <w:uiPriority w:val="99"/>
    <w:semiHidden/>
    <w:rsid w:val="00225534"/>
    <w:pPr>
      <w:ind w:left="283" w:hanging="283"/>
      <w:contextualSpacing/>
    </w:pPr>
  </w:style>
  <w:style w:type="paragraph" w:styleId="Liste2">
    <w:name w:val="List 2"/>
    <w:basedOn w:val="Normal"/>
    <w:uiPriority w:val="99"/>
    <w:semiHidden/>
    <w:rsid w:val="00225534"/>
    <w:pPr>
      <w:ind w:left="566" w:hanging="283"/>
      <w:contextualSpacing/>
    </w:pPr>
  </w:style>
  <w:style w:type="paragraph" w:styleId="Liste3">
    <w:name w:val="List 3"/>
    <w:basedOn w:val="Normal"/>
    <w:uiPriority w:val="99"/>
    <w:semiHidden/>
    <w:rsid w:val="00225534"/>
    <w:pPr>
      <w:ind w:left="849" w:hanging="283"/>
      <w:contextualSpacing/>
    </w:pPr>
  </w:style>
  <w:style w:type="paragraph" w:styleId="Liste4">
    <w:name w:val="List 4"/>
    <w:basedOn w:val="Normal"/>
    <w:uiPriority w:val="99"/>
    <w:semiHidden/>
    <w:rsid w:val="00225534"/>
    <w:pPr>
      <w:ind w:left="1132" w:hanging="283"/>
      <w:contextualSpacing/>
    </w:pPr>
  </w:style>
  <w:style w:type="paragraph" w:styleId="Liste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225534"/>
    <w:pPr>
      <w:numPr>
        <w:numId w:val="1"/>
      </w:numPr>
      <w:contextualSpacing/>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6"/>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99"/>
    <w:semiHidden/>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insideV w:val="single" w:sz="8" w:space="0" w:color="00E57E" w:themeColor="accent1" w:themeTint="BF"/>
      </w:tblBorders>
    </w:tblPr>
    <w:tcPr>
      <w:shd w:val="clear" w:color="auto" w:fill="A2FFD5" w:themeFill="accent1" w:themeFillTint="3F"/>
    </w:tcPr>
    <w:tblStylePr w:type="firstRow">
      <w:rPr>
        <w:b/>
        <w:bCs/>
      </w:rPr>
    </w:tblStylePr>
    <w:tblStylePr w:type="lastRow">
      <w:rPr>
        <w:b/>
        <w:bCs/>
      </w:rPr>
      <w:tblPr/>
      <w:tcPr>
        <w:tcBorders>
          <w:top w:val="single" w:sz="18" w:space="0" w:color="00E57E" w:themeColor="accent1" w:themeTint="BF"/>
        </w:tcBorders>
      </w:tcPr>
    </w:tblStylePr>
    <w:tblStylePr w:type="firstCol">
      <w:rPr>
        <w:b/>
        <w:bCs/>
      </w:rPr>
    </w:tblStylePr>
    <w:tblStylePr w:type="lastCol">
      <w:rPr>
        <w:b/>
        <w:bCs/>
      </w:r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single" w:sz="8" w:space="0" w:color="02C4FF" w:themeColor="accent3" w:themeTint="BF"/>
        <w:insideV w:val="single" w:sz="8" w:space="0" w:color="02C4FF" w:themeColor="accent3" w:themeTint="BF"/>
      </w:tblBorders>
    </w:tblPr>
    <w:tcPr>
      <w:shd w:val="clear" w:color="auto" w:fill="ABEBFF" w:themeFill="accent3" w:themeFillTint="3F"/>
    </w:tcPr>
    <w:tblStylePr w:type="firstRow">
      <w:rPr>
        <w:b/>
        <w:bCs/>
      </w:rPr>
    </w:tblStylePr>
    <w:tblStylePr w:type="lastRow">
      <w:rPr>
        <w:b/>
        <w:bCs/>
      </w:rPr>
      <w:tblPr/>
      <w:tcPr>
        <w:tcBorders>
          <w:top w:val="single" w:sz="18" w:space="0" w:color="02C4FF" w:themeColor="accent3" w:themeTint="BF"/>
        </w:tcBorders>
      </w:tcPr>
    </w:tblStylePr>
    <w:tblStylePr w:type="firstCol">
      <w:rPr>
        <w:b/>
        <w:bCs/>
      </w:rPr>
    </w:tblStylePr>
    <w:tblStylePr w:type="lastCol">
      <w:rPr>
        <w:b/>
        <w:bCs/>
      </w:rPr>
    </w:tblStylePr>
    <w:tblStylePr w:type="band1Vert">
      <w:tblPr/>
      <w:tcPr>
        <w:shd w:val="clear" w:color="auto" w:fill="57D8FF" w:themeFill="accent3" w:themeFillTint="7F"/>
      </w:tcPr>
    </w:tblStylePr>
    <w:tblStylePr w:type="band1Horz">
      <w:tblPr/>
      <w:tcPr>
        <w:shd w:val="clear" w:color="auto" w:fill="57D8FF"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insideV w:val="single" w:sz="8" w:space="0" w:color="62CDD6" w:themeColor="accent4" w:themeTint="BF"/>
      </w:tblBorders>
    </w:tblPr>
    <w:tcPr>
      <w:shd w:val="clear" w:color="auto" w:fill="CBEEF1" w:themeFill="accent4" w:themeFillTint="3F"/>
    </w:tcPr>
    <w:tblStylePr w:type="firstRow">
      <w:rPr>
        <w:b/>
        <w:bCs/>
      </w:rPr>
    </w:tblStylePr>
    <w:tblStylePr w:type="lastRow">
      <w:rPr>
        <w:b/>
        <w:bCs/>
      </w:rPr>
      <w:tblPr/>
      <w:tcPr>
        <w:tcBorders>
          <w:top w:val="single" w:sz="18" w:space="0" w:color="62CDD6" w:themeColor="accent4" w:themeTint="BF"/>
        </w:tcBorders>
      </w:tcPr>
    </w:tblStylePr>
    <w:tblStylePr w:type="firstCol">
      <w:rPr>
        <w:b/>
        <w:bCs/>
      </w:rPr>
    </w:tblStylePr>
    <w:tblStylePr w:type="lastCol">
      <w:rPr>
        <w:b/>
        <w:bCs/>
      </w:r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single" w:sz="8" w:space="0" w:color="C3D165" w:themeColor="accent5" w:themeTint="BF"/>
        <w:insideV w:val="single" w:sz="8" w:space="0" w:color="C3D165" w:themeColor="accent5" w:themeTint="BF"/>
      </w:tblBorders>
    </w:tblPr>
    <w:tcPr>
      <w:shd w:val="clear" w:color="auto" w:fill="EBF0CC" w:themeFill="accent5" w:themeFillTint="3F"/>
    </w:tcPr>
    <w:tblStylePr w:type="firstRow">
      <w:rPr>
        <w:b/>
        <w:bCs/>
      </w:rPr>
    </w:tblStylePr>
    <w:tblStylePr w:type="lastRow">
      <w:rPr>
        <w:b/>
        <w:bCs/>
      </w:rPr>
      <w:tblPr/>
      <w:tcPr>
        <w:tcBorders>
          <w:top w:val="single" w:sz="18" w:space="0" w:color="C3D165" w:themeColor="accent5" w:themeTint="BF"/>
        </w:tcBorders>
      </w:tcPr>
    </w:tblStylePr>
    <w:tblStylePr w:type="firstCol">
      <w:rPr>
        <w:b/>
        <w:bCs/>
      </w:rPr>
    </w:tblStylePr>
    <w:tblStylePr w:type="lastCol">
      <w:rPr>
        <w:b/>
        <w:bCs/>
      </w:rPr>
    </w:tblStylePr>
    <w:tblStylePr w:type="band1Vert">
      <w:tblPr/>
      <w:tcPr>
        <w:shd w:val="clear" w:color="auto" w:fill="D7E098" w:themeFill="accent5" w:themeFillTint="7F"/>
      </w:tcPr>
    </w:tblStylePr>
    <w:tblStylePr w:type="band1Horz">
      <w:tblPr/>
      <w:tcPr>
        <w:shd w:val="clear" w:color="auto" w:fill="D7E098"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single" w:sz="8" w:space="0" w:color="F3E390" w:themeColor="accent6" w:themeTint="BF"/>
        <w:insideV w:val="single" w:sz="8" w:space="0" w:color="F3E390" w:themeColor="accent6" w:themeTint="BF"/>
      </w:tblBorders>
    </w:tblPr>
    <w:tcPr>
      <w:shd w:val="clear" w:color="auto" w:fill="FBF6DA" w:themeFill="accent6" w:themeFillTint="3F"/>
    </w:tcPr>
    <w:tblStylePr w:type="firstRow">
      <w:rPr>
        <w:b/>
        <w:bCs/>
      </w:rPr>
    </w:tblStylePr>
    <w:tblStylePr w:type="lastRow">
      <w:rPr>
        <w:b/>
        <w:bCs/>
      </w:rPr>
      <w:tblPr/>
      <w:tcPr>
        <w:tcBorders>
          <w:top w:val="single" w:sz="18" w:space="0" w:color="F3E390" w:themeColor="accent6" w:themeTint="BF"/>
        </w:tcBorders>
      </w:tcPr>
    </w:tblStylePr>
    <w:tblStylePr w:type="firstCol">
      <w:rPr>
        <w:b/>
        <w:bCs/>
      </w:rPr>
    </w:tblStylePr>
    <w:tblStylePr w:type="lastCol">
      <w:rPr>
        <w:b/>
        <w:bCs/>
      </w:rPr>
    </w:tblStylePr>
    <w:tblStylePr w:type="band1Vert">
      <w:tblPr/>
      <w:tcPr>
        <w:shd w:val="clear" w:color="auto" w:fill="F7EDB5" w:themeFill="accent6" w:themeFillTint="7F"/>
      </w:tcPr>
    </w:tblStylePr>
    <w:tblStylePr w:type="band1Horz">
      <w:tblPr/>
      <w:tcPr>
        <w:shd w:val="clear" w:color="auto" w:fill="F7EDB5"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cPr>
      <w:shd w:val="clear" w:color="auto" w:fill="A2FFD5" w:themeFill="accent1" w:themeFillTint="3F"/>
    </w:tcPr>
    <w:tblStylePr w:type="firstRow">
      <w:rPr>
        <w:b/>
        <w:bCs/>
        <w:color w:val="000000" w:themeColor="text1"/>
      </w:rPr>
      <w:tblPr/>
      <w:tcPr>
        <w:shd w:val="clear" w:color="auto" w:fill="DAFF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1" w:themeFillTint="33"/>
      </w:tcPr>
    </w:tblStylePr>
    <w:tblStylePr w:type="band1Vert">
      <w:tblPr/>
      <w:tcPr>
        <w:shd w:val="clear" w:color="auto" w:fill="44FFAB" w:themeFill="accent1" w:themeFillTint="7F"/>
      </w:tcPr>
    </w:tblStylePr>
    <w:tblStylePr w:type="band1Horz">
      <w:tblPr/>
      <w:tcPr>
        <w:tcBorders>
          <w:insideH w:val="single" w:sz="6" w:space="0" w:color="00874B" w:themeColor="accent1"/>
          <w:insideV w:val="single" w:sz="6" w:space="0" w:color="00874B" w:themeColor="accent1"/>
        </w:tcBorders>
        <w:shd w:val="clear" w:color="auto" w:fill="44FFAB"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insideH w:val="single" w:sz="8" w:space="0" w:color="0085AD" w:themeColor="accent3"/>
        <w:insideV w:val="single" w:sz="8" w:space="0" w:color="0085AD" w:themeColor="accent3"/>
      </w:tblBorders>
    </w:tblPr>
    <w:tcPr>
      <w:shd w:val="clear" w:color="auto" w:fill="ABEBFF" w:themeFill="accent3" w:themeFillTint="3F"/>
    </w:tcPr>
    <w:tblStylePr w:type="firstRow">
      <w:rPr>
        <w:b/>
        <w:bCs/>
        <w:color w:val="000000" w:themeColor="text1"/>
      </w:rPr>
      <w:tblPr/>
      <w:tcPr>
        <w:shd w:val="clear" w:color="auto" w:fill="DDF7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3" w:themeFillTint="33"/>
      </w:tcPr>
    </w:tblStylePr>
    <w:tblStylePr w:type="band1Vert">
      <w:tblPr/>
      <w:tcPr>
        <w:shd w:val="clear" w:color="auto" w:fill="57D8FF" w:themeFill="accent3" w:themeFillTint="7F"/>
      </w:tcPr>
    </w:tblStylePr>
    <w:tblStylePr w:type="band1Horz">
      <w:tblPr/>
      <w:tcPr>
        <w:tcBorders>
          <w:insideH w:val="single" w:sz="6" w:space="0" w:color="0085AD" w:themeColor="accent3"/>
          <w:insideV w:val="single" w:sz="6" w:space="0" w:color="0085AD" w:themeColor="accent3"/>
        </w:tcBorders>
        <w:shd w:val="clear" w:color="auto" w:fill="57D8F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cPr>
      <w:shd w:val="clear" w:color="auto" w:fill="CBEEF1" w:themeFill="accent4" w:themeFillTint="3F"/>
    </w:tcPr>
    <w:tblStylePr w:type="firstRow">
      <w:rPr>
        <w:b/>
        <w:bCs/>
        <w:color w:val="000000" w:themeColor="text1"/>
      </w:rPr>
      <w:tblPr/>
      <w:tcPr>
        <w:shd w:val="clear" w:color="auto" w:fill="EAF8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4" w:themeFillTint="33"/>
      </w:tcPr>
    </w:tblStylePr>
    <w:tblStylePr w:type="band1Vert">
      <w:tblPr/>
      <w:tcPr>
        <w:shd w:val="clear" w:color="auto" w:fill="97DDE4" w:themeFill="accent4" w:themeFillTint="7F"/>
      </w:tcPr>
    </w:tblStylePr>
    <w:tblStylePr w:type="band1Horz">
      <w:tblPr/>
      <w:tcPr>
        <w:tcBorders>
          <w:insideH w:val="single" w:sz="6" w:space="0" w:color="33B9C4" w:themeColor="accent4"/>
          <w:insideV w:val="single" w:sz="6" w:space="0" w:color="33B9C4" w:themeColor="accent4"/>
        </w:tcBorders>
        <w:shd w:val="clear" w:color="auto" w:fill="97DDE4"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insideH w:val="single" w:sz="8" w:space="0" w:color="ABBC38" w:themeColor="accent5"/>
        <w:insideV w:val="single" w:sz="8" w:space="0" w:color="ABBC38" w:themeColor="accent5"/>
      </w:tblBorders>
    </w:tblPr>
    <w:tcPr>
      <w:shd w:val="clear" w:color="auto" w:fill="EBF0CC" w:themeFill="accent5" w:themeFillTint="3F"/>
    </w:tcPr>
    <w:tblStylePr w:type="firstRow">
      <w:rPr>
        <w:b/>
        <w:bCs/>
        <w:color w:val="000000" w:themeColor="text1"/>
      </w:rPr>
      <w:tblPr/>
      <w:tcPr>
        <w:shd w:val="clear" w:color="auto" w:fill="F7F9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D5" w:themeFill="accent5" w:themeFillTint="33"/>
      </w:tcPr>
    </w:tblStylePr>
    <w:tblStylePr w:type="band1Vert">
      <w:tblPr/>
      <w:tcPr>
        <w:shd w:val="clear" w:color="auto" w:fill="D7E098" w:themeFill="accent5" w:themeFillTint="7F"/>
      </w:tcPr>
    </w:tblStylePr>
    <w:tblStylePr w:type="band1Horz">
      <w:tblPr/>
      <w:tcPr>
        <w:tcBorders>
          <w:insideH w:val="single" w:sz="6" w:space="0" w:color="ABBC38" w:themeColor="accent5"/>
          <w:insideV w:val="single" w:sz="6" w:space="0" w:color="ABBC38" w:themeColor="accent5"/>
        </w:tcBorders>
        <w:shd w:val="clear" w:color="auto" w:fill="D7E098"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insideH w:val="single" w:sz="8" w:space="0" w:color="EFDB6C" w:themeColor="accent6"/>
        <w:insideV w:val="single" w:sz="8" w:space="0" w:color="EFDB6C" w:themeColor="accent6"/>
      </w:tblBorders>
    </w:tblPr>
    <w:tcPr>
      <w:shd w:val="clear" w:color="auto" w:fill="FBF6DA" w:themeFill="accent6" w:themeFillTint="3F"/>
    </w:tcPr>
    <w:tblStylePr w:type="firstRow">
      <w:rPr>
        <w:b/>
        <w:bCs/>
        <w:color w:val="000000" w:themeColor="text1"/>
      </w:rPr>
      <w:tblPr/>
      <w:tcPr>
        <w:shd w:val="clear" w:color="auto" w:fill="FDFB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7E1" w:themeFill="accent6" w:themeFillTint="33"/>
      </w:tcPr>
    </w:tblStylePr>
    <w:tblStylePr w:type="band1Vert">
      <w:tblPr/>
      <w:tcPr>
        <w:shd w:val="clear" w:color="auto" w:fill="F7EDB5" w:themeFill="accent6" w:themeFillTint="7F"/>
      </w:tcPr>
    </w:tblStylePr>
    <w:tblStylePr w:type="band1Horz">
      <w:tblPr/>
      <w:tcPr>
        <w:tcBorders>
          <w:insideH w:val="single" w:sz="6" w:space="0" w:color="EFDB6C" w:themeColor="accent6"/>
          <w:insideV w:val="single" w:sz="6" w:space="0" w:color="EFDB6C" w:themeColor="accent6"/>
        </w:tcBorders>
        <w:shd w:val="clear" w:color="auto" w:fill="F7EDB5"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0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BC3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BC3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BC3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BC3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9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98"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6D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DB6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DB6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DB6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DB6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EDB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EDB5"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E1D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00874B" w:themeColor="accent1"/>
        <w:bottom w:val="single" w:sz="8" w:space="0" w:color="00874B" w:themeColor="accent1"/>
      </w:tblBorders>
    </w:tblPr>
    <w:tblStylePr w:type="firstRow">
      <w:rPr>
        <w:rFonts w:asciiTheme="majorHAnsi" w:eastAsiaTheme="majorEastAsia" w:hAnsiTheme="majorHAnsi" w:cstheme="majorBidi"/>
      </w:rPr>
      <w:tblPr/>
      <w:tcPr>
        <w:tcBorders>
          <w:top w:val="nil"/>
          <w:bottom w:val="single" w:sz="8" w:space="0" w:color="00874B" w:themeColor="accent1"/>
        </w:tcBorders>
      </w:tcPr>
    </w:tblStylePr>
    <w:tblStylePr w:type="lastRow">
      <w:rPr>
        <w:b/>
        <w:bCs/>
        <w:color w:val="BFE1D2" w:themeColor="text2"/>
      </w:rPr>
      <w:tblPr/>
      <w:tcPr>
        <w:tcBorders>
          <w:top w:val="single" w:sz="8" w:space="0" w:color="00874B" w:themeColor="accent1"/>
          <w:bottom w:val="single" w:sz="8" w:space="0" w:color="00874B" w:themeColor="accent1"/>
        </w:tcBorders>
      </w:tcPr>
    </w:tblStylePr>
    <w:tblStylePr w:type="firstCol">
      <w:rPr>
        <w:b/>
        <w:bCs/>
      </w:rPr>
    </w:tblStylePr>
    <w:tblStylePr w:type="lastCol">
      <w:rPr>
        <w:b/>
        <w:bCs/>
      </w:rPr>
      <w:tblPr/>
      <w:tcPr>
        <w:tcBorders>
          <w:top w:val="single" w:sz="8" w:space="0" w:color="00874B" w:themeColor="accent1"/>
          <w:bottom w:val="single" w:sz="8" w:space="0" w:color="00874B" w:themeColor="accent1"/>
        </w:tcBorders>
      </w:tcPr>
    </w:tblStylePr>
    <w:tblStylePr w:type="band1Vert">
      <w:tblPr/>
      <w:tcPr>
        <w:shd w:val="clear" w:color="auto" w:fill="A2FFD5" w:themeFill="accent1" w:themeFillTint="3F"/>
      </w:tcPr>
    </w:tblStylePr>
    <w:tblStylePr w:type="band1Horz">
      <w:tblPr/>
      <w:tcPr>
        <w:shd w:val="clear" w:color="auto" w:fill="A2FFD5"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E1D2"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0085AD" w:themeColor="accent3"/>
        <w:bottom w:val="single" w:sz="8" w:space="0" w:color="0085AD" w:themeColor="accent3"/>
      </w:tblBorders>
    </w:tblPr>
    <w:tblStylePr w:type="firstRow">
      <w:rPr>
        <w:rFonts w:asciiTheme="majorHAnsi" w:eastAsiaTheme="majorEastAsia" w:hAnsiTheme="majorHAnsi" w:cstheme="majorBidi"/>
      </w:rPr>
      <w:tblPr/>
      <w:tcPr>
        <w:tcBorders>
          <w:top w:val="nil"/>
          <w:bottom w:val="single" w:sz="8" w:space="0" w:color="0085AD" w:themeColor="accent3"/>
        </w:tcBorders>
      </w:tcPr>
    </w:tblStylePr>
    <w:tblStylePr w:type="lastRow">
      <w:rPr>
        <w:b/>
        <w:bCs/>
        <w:color w:val="BFE1D2" w:themeColor="text2"/>
      </w:rPr>
      <w:tblPr/>
      <w:tcPr>
        <w:tcBorders>
          <w:top w:val="single" w:sz="8" w:space="0" w:color="0085AD" w:themeColor="accent3"/>
          <w:bottom w:val="single" w:sz="8" w:space="0" w:color="0085AD" w:themeColor="accent3"/>
        </w:tcBorders>
      </w:tcPr>
    </w:tblStylePr>
    <w:tblStylePr w:type="firstCol">
      <w:rPr>
        <w:b/>
        <w:bCs/>
      </w:rPr>
    </w:tblStylePr>
    <w:tblStylePr w:type="lastCol">
      <w:rPr>
        <w:b/>
        <w:bCs/>
      </w:rPr>
      <w:tblPr/>
      <w:tcPr>
        <w:tcBorders>
          <w:top w:val="single" w:sz="8" w:space="0" w:color="0085AD" w:themeColor="accent3"/>
          <w:bottom w:val="single" w:sz="8" w:space="0" w:color="0085AD" w:themeColor="accent3"/>
        </w:tcBorders>
      </w:tcPr>
    </w:tblStylePr>
    <w:tblStylePr w:type="band1Vert">
      <w:tblPr/>
      <w:tcPr>
        <w:shd w:val="clear" w:color="auto" w:fill="ABEBFF" w:themeFill="accent3" w:themeFillTint="3F"/>
      </w:tcPr>
    </w:tblStylePr>
    <w:tblStylePr w:type="band1Horz">
      <w:tblPr/>
      <w:tcPr>
        <w:shd w:val="clear" w:color="auto" w:fill="ABEBFF"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33B9C4" w:themeColor="accent4"/>
        <w:bottom w:val="single" w:sz="8" w:space="0" w:color="33B9C4" w:themeColor="accent4"/>
      </w:tblBorders>
    </w:tblPr>
    <w:tblStylePr w:type="firstRow">
      <w:rPr>
        <w:rFonts w:asciiTheme="majorHAnsi" w:eastAsiaTheme="majorEastAsia" w:hAnsiTheme="majorHAnsi" w:cstheme="majorBidi"/>
      </w:rPr>
      <w:tblPr/>
      <w:tcPr>
        <w:tcBorders>
          <w:top w:val="nil"/>
          <w:bottom w:val="single" w:sz="8" w:space="0" w:color="33B9C4" w:themeColor="accent4"/>
        </w:tcBorders>
      </w:tcPr>
    </w:tblStylePr>
    <w:tblStylePr w:type="lastRow">
      <w:rPr>
        <w:b/>
        <w:bCs/>
        <w:color w:val="BFE1D2" w:themeColor="text2"/>
      </w:rPr>
      <w:tblPr/>
      <w:tcPr>
        <w:tcBorders>
          <w:top w:val="single" w:sz="8" w:space="0" w:color="33B9C4" w:themeColor="accent4"/>
          <w:bottom w:val="single" w:sz="8" w:space="0" w:color="33B9C4" w:themeColor="accent4"/>
        </w:tcBorders>
      </w:tcPr>
    </w:tblStylePr>
    <w:tblStylePr w:type="firstCol">
      <w:rPr>
        <w:b/>
        <w:bCs/>
      </w:rPr>
    </w:tblStylePr>
    <w:tblStylePr w:type="lastCol">
      <w:rPr>
        <w:b/>
        <w:bCs/>
      </w:rPr>
      <w:tblPr/>
      <w:tcPr>
        <w:tcBorders>
          <w:top w:val="single" w:sz="8" w:space="0" w:color="33B9C4" w:themeColor="accent4"/>
          <w:bottom w:val="single" w:sz="8" w:space="0" w:color="33B9C4" w:themeColor="accent4"/>
        </w:tcBorders>
      </w:tcPr>
    </w:tblStylePr>
    <w:tblStylePr w:type="band1Vert">
      <w:tblPr/>
      <w:tcPr>
        <w:shd w:val="clear" w:color="auto" w:fill="CBEEF1" w:themeFill="accent4" w:themeFillTint="3F"/>
      </w:tcPr>
    </w:tblStylePr>
    <w:tblStylePr w:type="band1Horz">
      <w:tblPr/>
      <w:tcPr>
        <w:shd w:val="clear" w:color="auto" w:fill="CBEEF1"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ABBC38" w:themeColor="accent5"/>
        <w:bottom w:val="single" w:sz="8" w:space="0" w:color="ABBC38" w:themeColor="accent5"/>
      </w:tblBorders>
    </w:tblPr>
    <w:tblStylePr w:type="firstRow">
      <w:rPr>
        <w:rFonts w:asciiTheme="majorHAnsi" w:eastAsiaTheme="majorEastAsia" w:hAnsiTheme="majorHAnsi" w:cstheme="majorBidi"/>
      </w:rPr>
      <w:tblPr/>
      <w:tcPr>
        <w:tcBorders>
          <w:top w:val="nil"/>
          <w:bottom w:val="single" w:sz="8" w:space="0" w:color="ABBC38" w:themeColor="accent5"/>
        </w:tcBorders>
      </w:tcPr>
    </w:tblStylePr>
    <w:tblStylePr w:type="lastRow">
      <w:rPr>
        <w:b/>
        <w:bCs/>
        <w:color w:val="BFE1D2" w:themeColor="text2"/>
      </w:rPr>
      <w:tblPr/>
      <w:tcPr>
        <w:tcBorders>
          <w:top w:val="single" w:sz="8" w:space="0" w:color="ABBC38" w:themeColor="accent5"/>
          <w:bottom w:val="single" w:sz="8" w:space="0" w:color="ABBC38" w:themeColor="accent5"/>
        </w:tcBorders>
      </w:tcPr>
    </w:tblStylePr>
    <w:tblStylePr w:type="firstCol">
      <w:rPr>
        <w:b/>
        <w:bCs/>
      </w:rPr>
    </w:tblStylePr>
    <w:tblStylePr w:type="lastCol">
      <w:rPr>
        <w:b/>
        <w:bCs/>
      </w:rPr>
      <w:tblPr/>
      <w:tcPr>
        <w:tcBorders>
          <w:top w:val="single" w:sz="8" w:space="0" w:color="ABBC38" w:themeColor="accent5"/>
          <w:bottom w:val="single" w:sz="8" w:space="0" w:color="ABBC38" w:themeColor="accent5"/>
        </w:tcBorders>
      </w:tcPr>
    </w:tblStylePr>
    <w:tblStylePr w:type="band1Vert">
      <w:tblPr/>
      <w:tcPr>
        <w:shd w:val="clear" w:color="auto" w:fill="EBF0CC" w:themeFill="accent5" w:themeFillTint="3F"/>
      </w:tcPr>
    </w:tblStylePr>
    <w:tblStylePr w:type="band1Horz">
      <w:tblPr/>
      <w:tcPr>
        <w:shd w:val="clear" w:color="auto" w:fill="EBF0CC"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EFDB6C" w:themeColor="accent6"/>
        <w:bottom w:val="single" w:sz="8" w:space="0" w:color="EFDB6C" w:themeColor="accent6"/>
      </w:tblBorders>
    </w:tblPr>
    <w:tblStylePr w:type="firstRow">
      <w:rPr>
        <w:rFonts w:asciiTheme="majorHAnsi" w:eastAsiaTheme="majorEastAsia" w:hAnsiTheme="majorHAnsi" w:cstheme="majorBidi"/>
      </w:rPr>
      <w:tblPr/>
      <w:tcPr>
        <w:tcBorders>
          <w:top w:val="nil"/>
          <w:bottom w:val="single" w:sz="8" w:space="0" w:color="EFDB6C" w:themeColor="accent6"/>
        </w:tcBorders>
      </w:tcPr>
    </w:tblStylePr>
    <w:tblStylePr w:type="lastRow">
      <w:rPr>
        <w:b/>
        <w:bCs/>
        <w:color w:val="BFE1D2" w:themeColor="text2"/>
      </w:rPr>
      <w:tblPr/>
      <w:tcPr>
        <w:tcBorders>
          <w:top w:val="single" w:sz="8" w:space="0" w:color="EFDB6C" w:themeColor="accent6"/>
          <w:bottom w:val="single" w:sz="8" w:space="0" w:color="EFDB6C" w:themeColor="accent6"/>
        </w:tcBorders>
      </w:tcPr>
    </w:tblStylePr>
    <w:tblStylePr w:type="firstCol">
      <w:rPr>
        <w:b/>
        <w:bCs/>
      </w:rPr>
    </w:tblStylePr>
    <w:tblStylePr w:type="lastCol">
      <w:rPr>
        <w:b/>
        <w:bCs/>
      </w:rPr>
      <w:tblPr/>
      <w:tcPr>
        <w:tcBorders>
          <w:top w:val="single" w:sz="8" w:space="0" w:color="EFDB6C" w:themeColor="accent6"/>
          <w:bottom w:val="single" w:sz="8" w:space="0" w:color="EFDB6C" w:themeColor="accent6"/>
        </w:tcBorders>
      </w:tcPr>
    </w:tblStylePr>
    <w:tblStylePr w:type="band1Vert">
      <w:tblPr/>
      <w:tcPr>
        <w:shd w:val="clear" w:color="auto" w:fill="FBF6DA" w:themeFill="accent6" w:themeFillTint="3F"/>
      </w:tcPr>
    </w:tblStylePr>
    <w:tblStylePr w:type="band1Horz">
      <w:tblPr/>
      <w:tcPr>
        <w:shd w:val="clear" w:color="auto" w:fill="FBF6DA"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rPr>
        <w:sz w:val="24"/>
        <w:szCs w:val="24"/>
      </w:rPr>
      <w:tblPr/>
      <w:tcPr>
        <w:tcBorders>
          <w:top w:val="nil"/>
          <w:left w:val="nil"/>
          <w:bottom w:val="single" w:sz="24" w:space="0" w:color="00874B" w:themeColor="accent1"/>
          <w:right w:val="nil"/>
          <w:insideH w:val="nil"/>
          <w:insideV w:val="nil"/>
        </w:tcBorders>
        <w:shd w:val="clear" w:color="auto" w:fill="FFFFFF" w:themeFill="background1"/>
      </w:tcPr>
    </w:tblStylePr>
    <w:tblStylePr w:type="lastRow">
      <w:tblPr/>
      <w:tcPr>
        <w:tcBorders>
          <w:top w:val="single" w:sz="8" w:space="0" w:color="00874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1"/>
          <w:insideH w:val="nil"/>
          <w:insideV w:val="nil"/>
        </w:tcBorders>
        <w:shd w:val="clear" w:color="auto" w:fill="FFFFFF" w:themeFill="background1"/>
      </w:tcPr>
    </w:tblStylePr>
    <w:tblStylePr w:type="lastCol">
      <w:tblPr/>
      <w:tcPr>
        <w:tcBorders>
          <w:top w:val="nil"/>
          <w:left w:val="single" w:sz="8" w:space="0" w:color="00874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top w:val="nil"/>
          <w:bottom w:val="nil"/>
          <w:insideH w:val="nil"/>
          <w:insideV w:val="nil"/>
        </w:tcBorders>
        <w:shd w:val="clear" w:color="auto" w:fill="A2FF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tblBorders>
    </w:tblPr>
    <w:tblStylePr w:type="firstRow">
      <w:rPr>
        <w:sz w:val="24"/>
        <w:szCs w:val="24"/>
      </w:rPr>
      <w:tblPr/>
      <w:tcPr>
        <w:tcBorders>
          <w:top w:val="nil"/>
          <w:left w:val="nil"/>
          <w:bottom w:val="single" w:sz="24" w:space="0" w:color="0085AD" w:themeColor="accent3"/>
          <w:right w:val="nil"/>
          <w:insideH w:val="nil"/>
          <w:insideV w:val="nil"/>
        </w:tcBorders>
        <w:shd w:val="clear" w:color="auto" w:fill="FFFFFF" w:themeFill="background1"/>
      </w:tcPr>
    </w:tblStylePr>
    <w:tblStylePr w:type="lastRow">
      <w:tblPr/>
      <w:tcPr>
        <w:tcBorders>
          <w:top w:val="single" w:sz="8" w:space="0" w:color="0085A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3"/>
          <w:insideH w:val="nil"/>
          <w:insideV w:val="nil"/>
        </w:tcBorders>
        <w:shd w:val="clear" w:color="auto" w:fill="FFFFFF" w:themeFill="background1"/>
      </w:tcPr>
    </w:tblStylePr>
    <w:tblStylePr w:type="lastCol">
      <w:tblPr/>
      <w:tcPr>
        <w:tcBorders>
          <w:top w:val="nil"/>
          <w:left w:val="single" w:sz="8" w:space="0" w:color="0085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3" w:themeFillTint="3F"/>
      </w:tcPr>
    </w:tblStylePr>
    <w:tblStylePr w:type="band1Horz">
      <w:tblPr/>
      <w:tcPr>
        <w:tcBorders>
          <w:top w:val="nil"/>
          <w:bottom w:val="nil"/>
          <w:insideH w:val="nil"/>
          <w:insideV w:val="nil"/>
        </w:tcBorders>
        <w:shd w:val="clear" w:color="auto" w:fill="ABEB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rPr>
        <w:sz w:val="24"/>
        <w:szCs w:val="24"/>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tblPr/>
      <w:tcPr>
        <w:tcBorders>
          <w:top w:val="single" w:sz="8" w:space="0" w:color="33B9C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4"/>
          <w:insideH w:val="nil"/>
          <w:insideV w:val="nil"/>
        </w:tcBorders>
        <w:shd w:val="clear" w:color="auto" w:fill="FFFFFF" w:themeFill="background1"/>
      </w:tcPr>
    </w:tblStylePr>
    <w:tblStylePr w:type="lastCol">
      <w:tblPr/>
      <w:tcPr>
        <w:tcBorders>
          <w:top w:val="nil"/>
          <w:left w:val="single" w:sz="8" w:space="0" w:color="33B9C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top w:val="nil"/>
          <w:bottom w:val="nil"/>
          <w:insideH w:val="nil"/>
          <w:insideV w:val="nil"/>
        </w:tcBorders>
        <w:shd w:val="clear" w:color="auto" w:fill="CBEE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tblBorders>
    </w:tblPr>
    <w:tblStylePr w:type="firstRow">
      <w:rPr>
        <w:sz w:val="24"/>
        <w:szCs w:val="24"/>
      </w:rPr>
      <w:tblPr/>
      <w:tcPr>
        <w:tcBorders>
          <w:top w:val="nil"/>
          <w:left w:val="nil"/>
          <w:bottom w:val="single" w:sz="24" w:space="0" w:color="ABBC38" w:themeColor="accent5"/>
          <w:right w:val="nil"/>
          <w:insideH w:val="nil"/>
          <w:insideV w:val="nil"/>
        </w:tcBorders>
        <w:shd w:val="clear" w:color="auto" w:fill="FFFFFF" w:themeFill="background1"/>
      </w:tcPr>
    </w:tblStylePr>
    <w:tblStylePr w:type="lastRow">
      <w:tblPr/>
      <w:tcPr>
        <w:tcBorders>
          <w:top w:val="single" w:sz="8" w:space="0" w:color="ABBC3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BC38" w:themeColor="accent5"/>
          <w:insideH w:val="nil"/>
          <w:insideV w:val="nil"/>
        </w:tcBorders>
        <w:shd w:val="clear" w:color="auto" w:fill="FFFFFF" w:themeFill="background1"/>
      </w:tcPr>
    </w:tblStylePr>
    <w:tblStylePr w:type="lastCol">
      <w:tblPr/>
      <w:tcPr>
        <w:tcBorders>
          <w:top w:val="nil"/>
          <w:left w:val="single" w:sz="8" w:space="0" w:color="ABBC3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0CC" w:themeFill="accent5" w:themeFillTint="3F"/>
      </w:tcPr>
    </w:tblStylePr>
    <w:tblStylePr w:type="band1Horz">
      <w:tblPr/>
      <w:tcPr>
        <w:tcBorders>
          <w:top w:val="nil"/>
          <w:bottom w:val="nil"/>
          <w:insideH w:val="nil"/>
          <w:insideV w:val="nil"/>
        </w:tcBorders>
        <w:shd w:val="clear" w:color="auto" w:fill="EBF0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tblBorders>
    </w:tblPr>
    <w:tblStylePr w:type="firstRow">
      <w:rPr>
        <w:sz w:val="24"/>
        <w:szCs w:val="24"/>
      </w:rPr>
      <w:tblPr/>
      <w:tcPr>
        <w:tcBorders>
          <w:top w:val="nil"/>
          <w:left w:val="nil"/>
          <w:bottom w:val="single" w:sz="24" w:space="0" w:color="EFDB6C" w:themeColor="accent6"/>
          <w:right w:val="nil"/>
          <w:insideH w:val="nil"/>
          <w:insideV w:val="nil"/>
        </w:tcBorders>
        <w:shd w:val="clear" w:color="auto" w:fill="FFFFFF" w:themeFill="background1"/>
      </w:tcPr>
    </w:tblStylePr>
    <w:tblStylePr w:type="lastRow">
      <w:tblPr/>
      <w:tcPr>
        <w:tcBorders>
          <w:top w:val="single" w:sz="8" w:space="0" w:color="EFDB6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DB6C" w:themeColor="accent6"/>
          <w:insideH w:val="nil"/>
          <w:insideV w:val="nil"/>
        </w:tcBorders>
        <w:shd w:val="clear" w:color="auto" w:fill="FFFFFF" w:themeFill="background1"/>
      </w:tcPr>
    </w:tblStylePr>
    <w:tblStylePr w:type="lastCol">
      <w:tblPr/>
      <w:tcPr>
        <w:tcBorders>
          <w:top w:val="nil"/>
          <w:left w:val="single" w:sz="8" w:space="0" w:color="EFDB6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6DA" w:themeFill="accent6" w:themeFillTint="3F"/>
      </w:tcPr>
    </w:tblStylePr>
    <w:tblStylePr w:type="band1Horz">
      <w:tblPr/>
      <w:tcPr>
        <w:tcBorders>
          <w:top w:val="nil"/>
          <w:bottom w:val="nil"/>
          <w:insideH w:val="nil"/>
          <w:insideV w:val="nil"/>
        </w:tcBorders>
        <w:shd w:val="clear" w:color="auto" w:fill="FBF6D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tblBorders>
    </w:tblPr>
    <w:tblStylePr w:type="firstRow">
      <w:pPr>
        <w:spacing w:before="0" w:after="0" w:line="240" w:lineRule="auto"/>
      </w:pPr>
      <w:rPr>
        <w:b/>
        <w:bCs/>
        <w:color w:val="FFFFFF" w:themeColor="background1"/>
      </w:rPr>
      <w:tblPr/>
      <w:tcPr>
        <w:tc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shd w:val="clear" w:color="auto" w:fill="00874B" w:themeFill="accent1"/>
      </w:tcPr>
    </w:tblStylePr>
    <w:tblStylePr w:type="lastRow">
      <w:pPr>
        <w:spacing w:before="0" w:after="0" w:line="240" w:lineRule="auto"/>
      </w:pPr>
      <w:rPr>
        <w:b/>
        <w:bCs/>
      </w:rPr>
      <w:tblPr/>
      <w:tcPr>
        <w:tcBorders>
          <w:top w:val="double" w:sz="6"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1" w:themeFillTint="3F"/>
      </w:tcPr>
    </w:tblStylePr>
    <w:tblStylePr w:type="band1Horz">
      <w:tblPr/>
      <w:tcPr>
        <w:tcBorders>
          <w:insideH w:val="nil"/>
          <w:insideV w:val="nil"/>
        </w:tcBorders>
        <w:shd w:val="clear" w:color="auto" w:fill="A2FFD5"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single" w:sz="8" w:space="0" w:color="02C4FF" w:themeColor="accent3" w:themeTint="BF"/>
      </w:tblBorders>
    </w:tblPr>
    <w:tblStylePr w:type="firstRow">
      <w:pPr>
        <w:spacing w:before="0" w:after="0" w:line="240" w:lineRule="auto"/>
      </w:pPr>
      <w:rPr>
        <w:b/>
        <w:bCs/>
        <w:color w:val="FFFFFF" w:themeColor="background1"/>
      </w:rPr>
      <w:tblPr/>
      <w:tcPr>
        <w:tc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nil"/>
          <w:insideV w:val="nil"/>
        </w:tcBorders>
        <w:shd w:val="clear" w:color="auto" w:fill="0085AD" w:themeFill="accent3"/>
      </w:tcPr>
    </w:tblStylePr>
    <w:tblStylePr w:type="lastRow">
      <w:pPr>
        <w:spacing w:before="0" w:after="0" w:line="240" w:lineRule="auto"/>
      </w:pPr>
      <w:rPr>
        <w:b/>
        <w:bCs/>
      </w:rPr>
      <w:tblPr/>
      <w:tcPr>
        <w:tcBorders>
          <w:top w:val="double" w:sz="6"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3" w:themeFillTint="3F"/>
      </w:tcPr>
    </w:tblStylePr>
    <w:tblStylePr w:type="band1Horz">
      <w:tblPr/>
      <w:tcPr>
        <w:tcBorders>
          <w:insideH w:val="nil"/>
          <w:insideV w:val="nil"/>
        </w:tcBorders>
        <w:shd w:val="clear" w:color="auto" w:fill="ABEBFF"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tblBorders>
    </w:tblPr>
    <w:tblStylePr w:type="firstRow">
      <w:pPr>
        <w:spacing w:before="0" w:after="0" w:line="240" w:lineRule="auto"/>
      </w:pPr>
      <w:rPr>
        <w:b/>
        <w:bCs/>
        <w:color w:val="FFFFFF" w:themeColor="background1"/>
      </w:rPr>
      <w:tblPr/>
      <w:tcPr>
        <w:tc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shd w:val="clear" w:color="auto" w:fill="33B9C4" w:themeFill="accent4"/>
      </w:tcPr>
    </w:tblStylePr>
    <w:tblStylePr w:type="lastRow">
      <w:pPr>
        <w:spacing w:before="0" w:after="0" w:line="240" w:lineRule="auto"/>
      </w:pPr>
      <w:rPr>
        <w:b/>
        <w:bCs/>
      </w:rPr>
      <w:tblPr/>
      <w:tcPr>
        <w:tcBorders>
          <w:top w:val="double" w:sz="6"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4" w:themeFillTint="3F"/>
      </w:tcPr>
    </w:tblStylePr>
    <w:tblStylePr w:type="band1Horz">
      <w:tblPr/>
      <w:tcPr>
        <w:tcBorders>
          <w:insideH w:val="nil"/>
          <w:insideV w:val="nil"/>
        </w:tcBorders>
        <w:shd w:val="clear" w:color="auto" w:fill="CBEEF1"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single" w:sz="8" w:space="0" w:color="C3D165" w:themeColor="accent5" w:themeTint="BF"/>
      </w:tblBorders>
    </w:tblPr>
    <w:tblStylePr w:type="firstRow">
      <w:pPr>
        <w:spacing w:before="0" w:after="0" w:line="240" w:lineRule="auto"/>
      </w:pPr>
      <w:rPr>
        <w:b/>
        <w:bCs/>
        <w:color w:val="FFFFFF" w:themeColor="background1"/>
      </w:rPr>
      <w:tblPr/>
      <w:tcPr>
        <w:tc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nil"/>
          <w:insideV w:val="nil"/>
        </w:tcBorders>
        <w:shd w:val="clear" w:color="auto" w:fill="ABBC38" w:themeFill="accent5"/>
      </w:tcPr>
    </w:tblStylePr>
    <w:tblStylePr w:type="lastRow">
      <w:pPr>
        <w:spacing w:before="0" w:after="0" w:line="240" w:lineRule="auto"/>
      </w:pPr>
      <w:rPr>
        <w:b/>
        <w:bCs/>
      </w:rPr>
      <w:tblPr/>
      <w:tcPr>
        <w:tcBorders>
          <w:top w:val="double" w:sz="6"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BF0CC" w:themeFill="accent5" w:themeFillTint="3F"/>
      </w:tcPr>
    </w:tblStylePr>
    <w:tblStylePr w:type="band1Horz">
      <w:tblPr/>
      <w:tcPr>
        <w:tcBorders>
          <w:insideH w:val="nil"/>
          <w:insideV w:val="nil"/>
        </w:tcBorders>
        <w:shd w:val="clear" w:color="auto" w:fill="EBF0CC"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single" w:sz="8" w:space="0" w:color="F3E390" w:themeColor="accent6" w:themeTint="BF"/>
      </w:tblBorders>
    </w:tblPr>
    <w:tblStylePr w:type="firstRow">
      <w:pPr>
        <w:spacing w:before="0" w:after="0" w:line="240" w:lineRule="auto"/>
      </w:pPr>
      <w:rPr>
        <w:b/>
        <w:bCs/>
        <w:color w:val="FFFFFF" w:themeColor="background1"/>
      </w:rPr>
      <w:tblPr/>
      <w:tcPr>
        <w:tc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nil"/>
          <w:insideV w:val="nil"/>
        </w:tcBorders>
        <w:shd w:val="clear" w:color="auto" w:fill="EFDB6C" w:themeFill="accent6"/>
      </w:tcPr>
    </w:tblStylePr>
    <w:tblStylePr w:type="lastRow">
      <w:pPr>
        <w:spacing w:before="0" w:after="0" w:line="240" w:lineRule="auto"/>
      </w:pPr>
      <w:rPr>
        <w:b/>
        <w:bCs/>
      </w:rPr>
      <w:tblPr/>
      <w:tcPr>
        <w:tcBorders>
          <w:top w:val="double" w:sz="6"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F6DA" w:themeFill="accent6" w:themeFillTint="3F"/>
      </w:tcPr>
    </w:tblStylePr>
    <w:tblStylePr w:type="band1Horz">
      <w:tblPr/>
      <w:tcPr>
        <w:tcBorders>
          <w:insideH w:val="nil"/>
          <w:insideV w:val="nil"/>
        </w:tcBorders>
        <w:shd w:val="clear" w:color="auto" w:fill="FBF6DA"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1"/>
      </w:tcPr>
    </w:tblStylePr>
    <w:tblStylePr w:type="lastCol">
      <w:rPr>
        <w:b/>
        <w:bCs/>
        <w:color w:val="FFFFFF" w:themeColor="background1"/>
      </w:rPr>
      <w:tblPr/>
      <w:tcPr>
        <w:tcBorders>
          <w:left w:val="nil"/>
          <w:right w:val="nil"/>
          <w:insideH w:val="nil"/>
          <w:insideV w:val="nil"/>
        </w:tcBorders>
        <w:shd w:val="clear" w:color="auto" w:fill="00874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3"/>
      </w:tcPr>
    </w:tblStylePr>
    <w:tblStylePr w:type="lastCol">
      <w:rPr>
        <w:b/>
        <w:bCs/>
        <w:color w:val="FFFFFF" w:themeColor="background1"/>
      </w:rPr>
      <w:tblPr/>
      <w:tcPr>
        <w:tcBorders>
          <w:left w:val="nil"/>
          <w:right w:val="nil"/>
          <w:insideH w:val="nil"/>
          <w:insideV w:val="nil"/>
        </w:tcBorders>
        <w:shd w:val="clear" w:color="auto" w:fill="0085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4"/>
      </w:tcPr>
    </w:tblStylePr>
    <w:tblStylePr w:type="lastCol">
      <w:rPr>
        <w:b/>
        <w:bCs/>
        <w:color w:val="FFFFFF" w:themeColor="background1"/>
      </w:rPr>
      <w:tblPr/>
      <w:tcPr>
        <w:tcBorders>
          <w:left w:val="nil"/>
          <w:right w:val="nil"/>
          <w:insideH w:val="nil"/>
          <w:insideV w:val="nil"/>
        </w:tcBorders>
        <w:shd w:val="clear" w:color="auto" w:fill="33B9C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BC3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BC38" w:themeFill="accent5"/>
      </w:tcPr>
    </w:tblStylePr>
    <w:tblStylePr w:type="lastCol">
      <w:rPr>
        <w:b/>
        <w:bCs/>
        <w:color w:val="FFFFFF" w:themeColor="background1"/>
      </w:rPr>
      <w:tblPr/>
      <w:tcPr>
        <w:tcBorders>
          <w:left w:val="nil"/>
          <w:right w:val="nil"/>
          <w:insideH w:val="nil"/>
          <w:insideV w:val="nil"/>
        </w:tcBorders>
        <w:shd w:val="clear" w:color="auto" w:fill="ABBC3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DB6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DB6C" w:themeFill="accent6"/>
      </w:tcPr>
    </w:tblStylePr>
    <w:tblStylePr w:type="lastCol">
      <w:rPr>
        <w:b/>
        <w:bCs/>
        <w:color w:val="FFFFFF" w:themeColor="background1"/>
      </w:rPr>
      <w:tblPr/>
      <w:tcPr>
        <w:tcBorders>
          <w:left w:val="nil"/>
          <w:right w:val="nil"/>
          <w:insideH w:val="nil"/>
          <w:insideV w:val="nil"/>
        </w:tcBorders>
        <w:shd w:val="clear" w:color="auto" w:fill="EFDB6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sz w:val="24"/>
    </w:rPr>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pPr>
      <w:spacing w:line="240" w:lineRule="auto"/>
    </w:pPr>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684B85"/>
    <w:rPr>
      <w:rFonts w:ascii="Georgia" w:hAnsi="Georgia"/>
      <w:i/>
      <w:iCs/>
      <w:color w:val="000000" w:themeColor="text1"/>
      <w:szCs w:val="24"/>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684B85"/>
    <w:rPr>
      <w:rFonts w:ascii="Georgia" w:hAnsi="Georgia"/>
      <w:szCs w:val="24"/>
    </w:rPr>
  </w:style>
  <w:style w:type="paragraph" w:styleId="Underskrift">
    <w:name w:val="Signature"/>
    <w:basedOn w:val="Normal"/>
    <w:link w:val="UnderskriftTegn"/>
    <w:uiPriority w:val="99"/>
    <w:semiHidden/>
    <w:rsid w:val="00225534"/>
    <w:pPr>
      <w:spacing w:line="240" w:lineRule="auto"/>
      <w:ind w:left="4252"/>
    </w:pPr>
  </w:style>
  <w:style w:type="character" w:customStyle="1" w:styleId="UnderskriftTegn">
    <w:name w:val="Underskrift Tegn"/>
    <w:basedOn w:val="Standardskrifttypeiafsnit"/>
    <w:link w:val="Underskrift"/>
    <w:uiPriority w:val="99"/>
    <w:semiHidden/>
    <w:rsid w:val="00684B85"/>
    <w:rPr>
      <w:rFonts w:ascii="Georgia" w:hAnsi="Georgia"/>
      <w:szCs w:val="24"/>
    </w:rPr>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1C7630"/>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7E0C49"/>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1C7630"/>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C16955"/>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C16955"/>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C16955"/>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C16955"/>
    <w:pPr>
      <w:spacing w:after="520" w:line="360" w:lineRule="atLeast"/>
    </w:pPr>
    <w:rPr>
      <w:rFonts w:eastAsiaTheme="minorHAnsi" w:cstheme="minorBidi"/>
      <w:sz w:val="28"/>
      <w:szCs w:val="18"/>
      <w:lang w:eastAsia="en-US"/>
    </w:rPr>
  </w:style>
  <w:style w:type="character" w:customStyle="1" w:styleId="ParadigmeKommentar">
    <w:name w:val="ParadigmeKommentar"/>
    <w:basedOn w:val="ForklarendeTekst"/>
    <w:uiPriority w:val="7"/>
    <w:rsid w:val="00225534"/>
    <w:rPr>
      <w:rFonts w:ascii="Georgia" w:hAnsi="Georgia"/>
      <w:i/>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6"/>
    <w:semiHidden/>
    <w:rsid w:val="00944EE8"/>
    <w:pPr>
      <w:spacing w:before="0"/>
    </w:pPr>
  </w:style>
  <w:style w:type="paragraph" w:customStyle="1" w:styleId="Default">
    <w:name w:val="Default"/>
    <w:rsid w:val="009C3979"/>
    <w:pPr>
      <w:autoSpaceDE w:val="0"/>
      <w:autoSpaceDN w:val="0"/>
      <w:adjustRightInd w:val="0"/>
      <w:spacing w:line="240" w:lineRule="auto"/>
    </w:pPr>
    <w:rPr>
      <w:rFonts w:ascii="Verdana" w:hAnsi="Verdana" w:cs="Verdana"/>
      <w:color w:val="000000"/>
      <w:sz w:val="24"/>
      <w:szCs w:val="24"/>
    </w:rPr>
  </w:style>
  <w:style w:type="paragraph" w:customStyle="1" w:styleId="Ledetekst">
    <w:name w:val="Ledetekst"/>
    <w:basedOn w:val="Normal"/>
    <w:uiPriority w:val="3"/>
    <w:rsid w:val="001A43C2"/>
    <w:pPr>
      <w:spacing w:before="40" w:after="40"/>
      <w:ind w:left="397" w:right="57" w:hanging="340"/>
    </w:pPr>
  </w:style>
  <w:style w:type="paragraph" w:customStyle="1" w:styleId="Template-Address10000">
    <w:name w:val="Template - Address (10000)"/>
    <w:basedOn w:val="Normal"/>
    <w:uiPriority w:val="9"/>
    <w:semiHidden/>
    <w:rsid w:val="00A3576C"/>
    <w:pPr>
      <w:tabs>
        <w:tab w:val="center" w:pos="4819"/>
        <w:tab w:val="right" w:pos="9638"/>
      </w:tabs>
      <w:spacing w:line="168" w:lineRule="atLeast"/>
    </w:pPr>
    <w:rPr>
      <w:rFonts w:cs="Arial"/>
      <w:noProof/>
      <w:sz w:val="14"/>
      <w:szCs w:val="14"/>
    </w:rPr>
  </w:style>
  <w:style w:type="paragraph" w:customStyle="1" w:styleId="title-division-1">
    <w:name w:val="title-division-1"/>
    <w:basedOn w:val="Normal"/>
    <w:rsid w:val="00AB229C"/>
    <w:pPr>
      <w:spacing w:before="100" w:beforeAutospacing="1" w:after="100" w:afterAutospacing="1" w:line="240" w:lineRule="auto"/>
    </w:pPr>
    <w:rPr>
      <w:rFonts w:ascii="Times New Roman" w:hAnsi="Times New Roman"/>
      <w:sz w:val="24"/>
      <w:szCs w:val="24"/>
    </w:rPr>
  </w:style>
  <w:style w:type="paragraph" w:customStyle="1" w:styleId="title-article-norm">
    <w:name w:val="title-article-norm"/>
    <w:basedOn w:val="Normal"/>
    <w:rsid w:val="00AB229C"/>
    <w:pPr>
      <w:spacing w:before="100" w:beforeAutospacing="1" w:after="100" w:afterAutospacing="1" w:line="240" w:lineRule="auto"/>
    </w:pPr>
    <w:rPr>
      <w:rFonts w:ascii="Times New Roman" w:hAnsi="Times New Roman"/>
      <w:sz w:val="24"/>
      <w:szCs w:val="24"/>
    </w:rPr>
  </w:style>
  <w:style w:type="paragraph" w:customStyle="1" w:styleId="norm">
    <w:name w:val="norm"/>
    <w:basedOn w:val="Normal"/>
    <w:rsid w:val="00AB229C"/>
    <w:pPr>
      <w:spacing w:before="100" w:beforeAutospacing="1" w:after="100" w:afterAutospacing="1" w:line="240" w:lineRule="auto"/>
    </w:pPr>
    <w:rPr>
      <w:rFonts w:ascii="Times New Roman" w:hAnsi="Times New Roman"/>
      <w:sz w:val="24"/>
      <w:szCs w:val="24"/>
    </w:rPr>
  </w:style>
  <w:style w:type="paragraph" w:customStyle="1" w:styleId="paragraf">
    <w:name w:val="paragraf"/>
    <w:basedOn w:val="Normal"/>
    <w:rsid w:val="0000051C"/>
    <w:pPr>
      <w:spacing w:before="100" w:beforeAutospacing="1" w:after="100" w:afterAutospacing="1" w:line="240" w:lineRule="auto"/>
    </w:pPr>
    <w:rPr>
      <w:rFonts w:ascii="Times New Roman" w:hAnsi="Times New Roman"/>
      <w:sz w:val="24"/>
      <w:szCs w:val="24"/>
    </w:rPr>
  </w:style>
  <w:style w:type="paragraph" w:customStyle="1" w:styleId="liste1">
    <w:name w:val="liste1"/>
    <w:basedOn w:val="Normal"/>
    <w:rsid w:val="0000051C"/>
    <w:pPr>
      <w:spacing w:before="100" w:beforeAutospacing="1" w:after="100" w:afterAutospacing="1" w:line="240" w:lineRule="auto"/>
    </w:pPr>
    <w:rPr>
      <w:rFonts w:ascii="Times New Roman" w:hAnsi="Times New Roman"/>
      <w:sz w:val="24"/>
      <w:szCs w:val="24"/>
    </w:rPr>
  </w:style>
  <w:style w:type="character" w:customStyle="1" w:styleId="liste1nr">
    <w:name w:val="liste1nr"/>
    <w:basedOn w:val="Standardskrifttypeiafsnit"/>
    <w:rsid w:val="0000051C"/>
  </w:style>
  <w:style w:type="character" w:customStyle="1" w:styleId="oj-bold">
    <w:name w:val="oj-bold"/>
    <w:basedOn w:val="Standardskrifttypeiafsnit"/>
    <w:rsid w:val="00E971D3"/>
  </w:style>
  <w:style w:type="character" w:customStyle="1" w:styleId="paragrafnr">
    <w:name w:val="paragrafnr"/>
    <w:basedOn w:val="Standardskrifttypeiafsnit"/>
    <w:rsid w:val="009B094F"/>
  </w:style>
  <w:style w:type="paragraph" w:customStyle="1" w:styleId="Deloverskrift">
    <w:name w:val="Del overskrift"/>
    <w:basedOn w:val="Normal"/>
    <w:link w:val="DeloverskriftTegn"/>
    <w:qFormat/>
    <w:rsid w:val="00E2620C"/>
    <w:pPr>
      <w:ind w:right="-1759"/>
      <w:jc w:val="both"/>
    </w:pPr>
    <w:rPr>
      <w:rFonts w:eastAsia="Calibri"/>
      <w:b/>
      <w:lang w:eastAsia="en-US"/>
    </w:rPr>
  </w:style>
  <w:style w:type="paragraph" w:customStyle="1" w:styleId="Pktoverskrift">
    <w:name w:val="Pkt overskrift"/>
    <w:basedOn w:val="Normal"/>
    <w:qFormat/>
    <w:rsid w:val="002A2467"/>
    <w:pPr>
      <w:ind w:right="-1759"/>
      <w:jc w:val="both"/>
    </w:pPr>
    <w:rPr>
      <w:b/>
      <w:color w:val="000000"/>
    </w:rPr>
  </w:style>
  <w:style w:type="character" w:customStyle="1" w:styleId="DeloverskriftTegn">
    <w:name w:val="Del overskrift Tegn"/>
    <w:basedOn w:val="Standardskrifttypeiafsnit"/>
    <w:link w:val="Deloverskrift"/>
    <w:rsid w:val="00E2620C"/>
    <w:rPr>
      <w:rFonts w:eastAsia="Calibri"/>
      <w:b/>
      <w:lang w:eastAsia="en-US"/>
    </w:rPr>
  </w:style>
  <w:style w:type="paragraph" w:customStyle="1" w:styleId="oj-normal">
    <w:name w:val="oj-normal"/>
    <w:basedOn w:val="Normal"/>
    <w:rsid w:val="00B717BE"/>
    <w:pPr>
      <w:spacing w:before="100" w:beforeAutospacing="1" w:after="100" w:afterAutospacing="1" w:line="240" w:lineRule="auto"/>
    </w:pPr>
    <w:rPr>
      <w:rFonts w:ascii="Times New Roman" w:hAnsi="Times New Roman"/>
      <w:sz w:val="24"/>
      <w:szCs w:val="24"/>
    </w:rPr>
  </w:style>
  <w:style w:type="character" w:customStyle="1" w:styleId="FodnotetekstTegn">
    <w:name w:val="Fodnotetekst Tegn"/>
    <w:basedOn w:val="Standardskrifttypeiafsnit"/>
    <w:link w:val="Fodnotetekst"/>
    <w:uiPriority w:val="9"/>
    <w:semiHidden/>
    <w:rsid w:val="00C84D26"/>
    <w:rPr>
      <w:sz w:val="18"/>
    </w:rPr>
  </w:style>
  <w:style w:type="paragraph" w:customStyle="1" w:styleId="stk2">
    <w:name w:val="stk2"/>
    <w:basedOn w:val="Normal"/>
    <w:rsid w:val="008E2FB8"/>
    <w:pPr>
      <w:spacing w:before="100" w:beforeAutospacing="1" w:after="100" w:afterAutospacing="1" w:line="240" w:lineRule="auto"/>
    </w:pPr>
    <w:rPr>
      <w:rFonts w:ascii="Times New Roman" w:hAnsi="Times New Roman"/>
      <w:sz w:val="24"/>
      <w:szCs w:val="24"/>
    </w:rPr>
  </w:style>
  <w:style w:type="character" w:customStyle="1" w:styleId="oj-super">
    <w:name w:val="oj-super"/>
    <w:basedOn w:val="Standardskrifttypeiafsnit"/>
    <w:rsid w:val="00193D54"/>
  </w:style>
  <w:style w:type="character" w:customStyle="1" w:styleId="underline">
    <w:name w:val="underline"/>
    <w:basedOn w:val="Standardskrifttypeiafsnit"/>
    <w:rsid w:val="00671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4360">
      <w:bodyDiv w:val="1"/>
      <w:marLeft w:val="0"/>
      <w:marRight w:val="0"/>
      <w:marTop w:val="0"/>
      <w:marBottom w:val="0"/>
      <w:divBdr>
        <w:top w:val="none" w:sz="0" w:space="0" w:color="auto"/>
        <w:left w:val="none" w:sz="0" w:space="0" w:color="auto"/>
        <w:bottom w:val="none" w:sz="0" w:space="0" w:color="auto"/>
        <w:right w:val="none" w:sz="0" w:space="0" w:color="auto"/>
      </w:divBdr>
      <w:divsChild>
        <w:div w:id="111753754">
          <w:marLeft w:val="0"/>
          <w:marRight w:val="0"/>
          <w:marTop w:val="0"/>
          <w:marBottom w:val="0"/>
          <w:divBdr>
            <w:top w:val="none" w:sz="0" w:space="0" w:color="auto"/>
            <w:left w:val="none" w:sz="0" w:space="0" w:color="auto"/>
            <w:bottom w:val="none" w:sz="0" w:space="0" w:color="auto"/>
            <w:right w:val="none" w:sz="0" w:space="0" w:color="auto"/>
          </w:divBdr>
        </w:div>
        <w:div w:id="341250125">
          <w:marLeft w:val="0"/>
          <w:marRight w:val="0"/>
          <w:marTop w:val="0"/>
          <w:marBottom w:val="0"/>
          <w:divBdr>
            <w:top w:val="none" w:sz="0" w:space="0" w:color="auto"/>
            <w:left w:val="none" w:sz="0" w:space="0" w:color="auto"/>
            <w:bottom w:val="none" w:sz="0" w:space="0" w:color="auto"/>
            <w:right w:val="none" w:sz="0" w:space="0" w:color="auto"/>
          </w:divBdr>
        </w:div>
        <w:div w:id="389039596">
          <w:marLeft w:val="0"/>
          <w:marRight w:val="0"/>
          <w:marTop w:val="0"/>
          <w:marBottom w:val="0"/>
          <w:divBdr>
            <w:top w:val="none" w:sz="0" w:space="0" w:color="auto"/>
            <w:left w:val="none" w:sz="0" w:space="0" w:color="auto"/>
            <w:bottom w:val="none" w:sz="0" w:space="0" w:color="auto"/>
            <w:right w:val="none" w:sz="0" w:space="0" w:color="auto"/>
          </w:divBdr>
        </w:div>
        <w:div w:id="543833693">
          <w:marLeft w:val="0"/>
          <w:marRight w:val="0"/>
          <w:marTop w:val="0"/>
          <w:marBottom w:val="0"/>
          <w:divBdr>
            <w:top w:val="none" w:sz="0" w:space="0" w:color="auto"/>
            <w:left w:val="none" w:sz="0" w:space="0" w:color="auto"/>
            <w:bottom w:val="none" w:sz="0" w:space="0" w:color="auto"/>
            <w:right w:val="none" w:sz="0" w:space="0" w:color="auto"/>
          </w:divBdr>
        </w:div>
        <w:div w:id="570698257">
          <w:marLeft w:val="0"/>
          <w:marRight w:val="0"/>
          <w:marTop w:val="0"/>
          <w:marBottom w:val="0"/>
          <w:divBdr>
            <w:top w:val="none" w:sz="0" w:space="0" w:color="auto"/>
            <w:left w:val="none" w:sz="0" w:space="0" w:color="auto"/>
            <w:bottom w:val="none" w:sz="0" w:space="0" w:color="auto"/>
            <w:right w:val="none" w:sz="0" w:space="0" w:color="auto"/>
          </w:divBdr>
        </w:div>
        <w:div w:id="1204755570">
          <w:marLeft w:val="0"/>
          <w:marRight w:val="0"/>
          <w:marTop w:val="0"/>
          <w:marBottom w:val="0"/>
          <w:divBdr>
            <w:top w:val="none" w:sz="0" w:space="0" w:color="auto"/>
            <w:left w:val="none" w:sz="0" w:space="0" w:color="auto"/>
            <w:bottom w:val="none" w:sz="0" w:space="0" w:color="auto"/>
            <w:right w:val="none" w:sz="0" w:space="0" w:color="auto"/>
          </w:divBdr>
        </w:div>
        <w:div w:id="1602836676">
          <w:marLeft w:val="0"/>
          <w:marRight w:val="0"/>
          <w:marTop w:val="0"/>
          <w:marBottom w:val="0"/>
          <w:divBdr>
            <w:top w:val="none" w:sz="0" w:space="0" w:color="auto"/>
            <w:left w:val="none" w:sz="0" w:space="0" w:color="auto"/>
            <w:bottom w:val="none" w:sz="0" w:space="0" w:color="auto"/>
            <w:right w:val="none" w:sz="0" w:space="0" w:color="auto"/>
          </w:divBdr>
        </w:div>
        <w:div w:id="1621523589">
          <w:marLeft w:val="0"/>
          <w:marRight w:val="0"/>
          <w:marTop w:val="0"/>
          <w:marBottom w:val="0"/>
          <w:divBdr>
            <w:top w:val="none" w:sz="0" w:space="0" w:color="auto"/>
            <w:left w:val="none" w:sz="0" w:space="0" w:color="auto"/>
            <w:bottom w:val="none" w:sz="0" w:space="0" w:color="auto"/>
            <w:right w:val="none" w:sz="0" w:space="0" w:color="auto"/>
          </w:divBdr>
        </w:div>
        <w:div w:id="1829832174">
          <w:marLeft w:val="0"/>
          <w:marRight w:val="0"/>
          <w:marTop w:val="0"/>
          <w:marBottom w:val="0"/>
          <w:divBdr>
            <w:top w:val="none" w:sz="0" w:space="0" w:color="auto"/>
            <w:left w:val="none" w:sz="0" w:space="0" w:color="auto"/>
            <w:bottom w:val="none" w:sz="0" w:space="0" w:color="auto"/>
            <w:right w:val="none" w:sz="0" w:space="0" w:color="auto"/>
          </w:divBdr>
        </w:div>
        <w:div w:id="1930313488">
          <w:marLeft w:val="0"/>
          <w:marRight w:val="0"/>
          <w:marTop w:val="0"/>
          <w:marBottom w:val="0"/>
          <w:divBdr>
            <w:top w:val="none" w:sz="0" w:space="0" w:color="auto"/>
            <w:left w:val="none" w:sz="0" w:space="0" w:color="auto"/>
            <w:bottom w:val="none" w:sz="0" w:space="0" w:color="auto"/>
            <w:right w:val="none" w:sz="0" w:space="0" w:color="auto"/>
          </w:divBdr>
        </w:div>
        <w:div w:id="1982810716">
          <w:marLeft w:val="0"/>
          <w:marRight w:val="0"/>
          <w:marTop w:val="0"/>
          <w:marBottom w:val="0"/>
          <w:divBdr>
            <w:top w:val="none" w:sz="0" w:space="0" w:color="auto"/>
            <w:left w:val="none" w:sz="0" w:space="0" w:color="auto"/>
            <w:bottom w:val="none" w:sz="0" w:space="0" w:color="auto"/>
            <w:right w:val="none" w:sz="0" w:space="0" w:color="auto"/>
          </w:divBdr>
        </w:div>
      </w:divsChild>
    </w:div>
    <w:div w:id="131412723">
      <w:bodyDiv w:val="1"/>
      <w:marLeft w:val="0"/>
      <w:marRight w:val="0"/>
      <w:marTop w:val="0"/>
      <w:marBottom w:val="0"/>
      <w:divBdr>
        <w:top w:val="none" w:sz="0" w:space="0" w:color="auto"/>
        <w:left w:val="none" w:sz="0" w:space="0" w:color="auto"/>
        <w:bottom w:val="none" w:sz="0" w:space="0" w:color="auto"/>
        <w:right w:val="none" w:sz="0" w:space="0" w:color="auto"/>
      </w:divBdr>
    </w:div>
    <w:div w:id="244459349">
      <w:bodyDiv w:val="1"/>
      <w:marLeft w:val="0"/>
      <w:marRight w:val="0"/>
      <w:marTop w:val="0"/>
      <w:marBottom w:val="0"/>
      <w:divBdr>
        <w:top w:val="none" w:sz="0" w:space="0" w:color="auto"/>
        <w:left w:val="none" w:sz="0" w:space="0" w:color="auto"/>
        <w:bottom w:val="none" w:sz="0" w:space="0" w:color="auto"/>
        <w:right w:val="none" w:sz="0" w:space="0" w:color="auto"/>
      </w:divBdr>
    </w:div>
    <w:div w:id="593900832">
      <w:bodyDiv w:val="1"/>
      <w:marLeft w:val="0"/>
      <w:marRight w:val="0"/>
      <w:marTop w:val="0"/>
      <w:marBottom w:val="0"/>
      <w:divBdr>
        <w:top w:val="none" w:sz="0" w:space="0" w:color="auto"/>
        <w:left w:val="none" w:sz="0" w:space="0" w:color="auto"/>
        <w:bottom w:val="none" w:sz="0" w:space="0" w:color="auto"/>
        <w:right w:val="none" w:sz="0" w:space="0" w:color="auto"/>
      </w:divBdr>
    </w:div>
    <w:div w:id="720325823">
      <w:bodyDiv w:val="1"/>
      <w:marLeft w:val="0"/>
      <w:marRight w:val="0"/>
      <w:marTop w:val="0"/>
      <w:marBottom w:val="0"/>
      <w:divBdr>
        <w:top w:val="none" w:sz="0" w:space="0" w:color="auto"/>
        <w:left w:val="none" w:sz="0" w:space="0" w:color="auto"/>
        <w:bottom w:val="none" w:sz="0" w:space="0" w:color="auto"/>
        <w:right w:val="none" w:sz="0" w:space="0" w:color="auto"/>
      </w:divBdr>
    </w:div>
    <w:div w:id="802695166">
      <w:bodyDiv w:val="1"/>
      <w:marLeft w:val="0"/>
      <w:marRight w:val="0"/>
      <w:marTop w:val="0"/>
      <w:marBottom w:val="0"/>
      <w:divBdr>
        <w:top w:val="none" w:sz="0" w:space="0" w:color="auto"/>
        <w:left w:val="none" w:sz="0" w:space="0" w:color="auto"/>
        <w:bottom w:val="none" w:sz="0" w:space="0" w:color="auto"/>
        <w:right w:val="none" w:sz="0" w:space="0" w:color="auto"/>
      </w:divBdr>
      <w:divsChild>
        <w:div w:id="563758760">
          <w:marLeft w:val="0"/>
          <w:marRight w:val="0"/>
          <w:marTop w:val="0"/>
          <w:marBottom w:val="0"/>
          <w:divBdr>
            <w:top w:val="none" w:sz="0" w:space="0" w:color="auto"/>
            <w:left w:val="none" w:sz="0" w:space="0" w:color="auto"/>
            <w:bottom w:val="none" w:sz="0" w:space="0" w:color="auto"/>
            <w:right w:val="none" w:sz="0" w:space="0" w:color="auto"/>
          </w:divBdr>
          <w:divsChild>
            <w:div w:id="1197623368">
              <w:marLeft w:val="0"/>
              <w:marRight w:val="0"/>
              <w:marTop w:val="0"/>
              <w:marBottom w:val="0"/>
              <w:divBdr>
                <w:top w:val="none" w:sz="0" w:space="0" w:color="auto"/>
                <w:left w:val="none" w:sz="0" w:space="0" w:color="auto"/>
                <w:bottom w:val="none" w:sz="0" w:space="0" w:color="auto"/>
                <w:right w:val="none" w:sz="0" w:space="0" w:color="auto"/>
              </w:divBdr>
            </w:div>
            <w:div w:id="1918050818">
              <w:marLeft w:val="0"/>
              <w:marRight w:val="0"/>
              <w:marTop w:val="120"/>
              <w:marBottom w:val="0"/>
              <w:divBdr>
                <w:top w:val="none" w:sz="0" w:space="0" w:color="auto"/>
                <w:left w:val="none" w:sz="0" w:space="0" w:color="auto"/>
                <w:bottom w:val="none" w:sz="0" w:space="0" w:color="auto"/>
                <w:right w:val="none" w:sz="0" w:space="0" w:color="auto"/>
              </w:divBdr>
            </w:div>
          </w:divsChild>
        </w:div>
        <w:div w:id="1017999996">
          <w:marLeft w:val="0"/>
          <w:marRight w:val="0"/>
          <w:marTop w:val="0"/>
          <w:marBottom w:val="0"/>
          <w:divBdr>
            <w:top w:val="none" w:sz="0" w:space="0" w:color="auto"/>
            <w:left w:val="none" w:sz="0" w:space="0" w:color="auto"/>
            <w:bottom w:val="none" w:sz="0" w:space="0" w:color="auto"/>
            <w:right w:val="none" w:sz="0" w:space="0" w:color="auto"/>
          </w:divBdr>
          <w:divsChild>
            <w:div w:id="741216136">
              <w:marLeft w:val="0"/>
              <w:marRight w:val="0"/>
              <w:marTop w:val="120"/>
              <w:marBottom w:val="0"/>
              <w:divBdr>
                <w:top w:val="none" w:sz="0" w:space="0" w:color="auto"/>
                <w:left w:val="none" w:sz="0" w:space="0" w:color="auto"/>
                <w:bottom w:val="none" w:sz="0" w:space="0" w:color="auto"/>
                <w:right w:val="none" w:sz="0" w:space="0" w:color="auto"/>
              </w:divBdr>
            </w:div>
            <w:div w:id="1626348938">
              <w:marLeft w:val="0"/>
              <w:marRight w:val="0"/>
              <w:marTop w:val="0"/>
              <w:marBottom w:val="0"/>
              <w:divBdr>
                <w:top w:val="none" w:sz="0" w:space="0" w:color="auto"/>
                <w:left w:val="none" w:sz="0" w:space="0" w:color="auto"/>
                <w:bottom w:val="none" w:sz="0" w:space="0" w:color="auto"/>
                <w:right w:val="none" w:sz="0" w:space="0" w:color="auto"/>
              </w:divBdr>
            </w:div>
          </w:divsChild>
        </w:div>
        <w:div w:id="1221283805">
          <w:marLeft w:val="0"/>
          <w:marRight w:val="0"/>
          <w:marTop w:val="0"/>
          <w:marBottom w:val="0"/>
          <w:divBdr>
            <w:top w:val="none" w:sz="0" w:space="0" w:color="auto"/>
            <w:left w:val="none" w:sz="0" w:space="0" w:color="auto"/>
            <w:bottom w:val="none" w:sz="0" w:space="0" w:color="auto"/>
            <w:right w:val="none" w:sz="0" w:space="0" w:color="auto"/>
          </w:divBdr>
          <w:divsChild>
            <w:div w:id="9184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21974">
      <w:bodyDiv w:val="1"/>
      <w:marLeft w:val="0"/>
      <w:marRight w:val="0"/>
      <w:marTop w:val="0"/>
      <w:marBottom w:val="0"/>
      <w:divBdr>
        <w:top w:val="none" w:sz="0" w:space="0" w:color="auto"/>
        <w:left w:val="none" w:sz="0" w:space="0" w:color="auto"/>
        <w:bottom w:val="none" w:sz="0" w:space="0" w:color="auto"/>
        <w:right w:val="none" w:sz="0" w:space="0" w:color="auto"/>
      </w:divBdr>
    </w:div>
    <w:div w:id="1094549338">
      <w:bodyDiv w:val="1"/>
      <w:marLeft w:val="0"/>
      <w:marRight w:val="0"/>
      <w:marTop w:val="0"/>
      <w:marBottom w:val="0"/>
      <w:divBdr>
        <w:top w:val="none" w:sz="0" w:space="0" w:color="auto"/>
        <w:left w:val="none" w:sz="0" w:space="0" w:color="auto"/>
        <w:bottom w:val="none" w:sz="0" w:space="0" w:color="auto"/>
        <w:right w:val="none" w:sz="0" w:space="0" w:color="auto"/>
      </w:divBdr>
      <w:divsChild>
        <w:div w:id="42825898">
          <w:marLeft w:val="0"/>
          <w:marRight w:val="0"/>
          <w:marTop w:val="0"/>
          <w:marBottom w:val="0"/>
          <w:divBdr>
            <w:top w:val="none" w:sz="0" w:space="0" w:color="auto"/>
            <w:left w:val="none" w:sz="0" w:space="0" w:color="auto"/>
            <w:bottom w:val="none" w:sz="0" w:space="0" w:color="auto"/>
            <w:right w:val="none" w:sz="0" w:space="0" w:color="auto"/>
          </w:divBdr>
        </w:div>
        <w:div w:id="141586150">
          <w:marLeft w:val="0"/>
          <w:marRight w:val="0"/>
          <w:marTop w:val="0"/>
          <w:marBottom w:val="0"/>
          <w:divBdr>
            <w:top w:val="none" w:sz="0" w:space="0" w:color="auto"/>
            <w:left w:val="none" w:sz="0" w:space="0" w:color="auto"/>
            <w:bottom w:val="none" w:sz="0" w:space="0" w:color="auto"/>
            <w:right w:val="none" w:sz="0" w:space="0" w:color="auto"/>
          </w:divBdr>
        </w:div>
        <w:div w:id="173543833">
          <w:marLeft w:val="0"/>
          <w:marRight w:val="0"/>
          <w:marTop w:val="0"/>
          <w:marBottom w:val="0"/>
          <w:divBdr>
            <w:top w:val="none" w:sz="0" w:space="0" w:color="auto"/>
            <w:left w:val="none" w:sz="0" w:space="0" w:color="auto"/>
            <w:bottom w:val="none" w:sz="0" w:space="0" w:color="auto"/>
            <w:right w:val="none" w:sz="0" w:space="0" w:color="auto"/>
          </w:divBdr>
        </w:div>
        <w:div w:id="226648248">
          <w:marLeft w:val="0"/>
          <w:marRight w:val="0"/>
          <w:marTop w:val="0"/>
          <w:marBottom w:val="0"/>
          <w:divBdr>
            <w:top w:val="none" w:sz="0" w:space="0" w:color="auto"/>
            <w:left w:val="none" w:sz="0" w:space="0" w:color="auto"/>
            <w:bottom w:val="none" w:sz="0" w:space="0" w:color="auto"/>
            <w:right w:val="none" w:sz="0" w:space="0" w:color="auto"/>
          </w:divBdr>
        </w:div>
        <w:div w:id="390812348">
          <w:marLeft w:val="0"/>
          <w:marRight w:val="0"/>
          <w:marTop w:val="0"/>
          <w:marBottom w:val="0"/>
          <w:divBdr>
            <w:top w:val="none" w:sz="0" w:space="0" w:color="auto"/>
            <w:left w:val="none" w:sz="0" w:space="0" w:color="auto"/>
            <w:bottom w:val="none" w:sz="0" w:space="0" w:color="auto"/>
            <w:right w:val="none" w:sz="0" w:space="0" w:color="auto"/>
          </w:divBdr>
        </w:div>
        <w:div w:id="421492508">
          <w:marLeft w:val="0"/>
          <w:marRight w:val="0"/>
          <w:marTop w:val="0"/>
          <w:marBottom w:val="0"/>
          <w:divBdr>
            <w:top w:val="none" w:sz="0" w:space="0" w:color="auto"/>
            <w:left w:val="none" w:sz="0" w:space="0" w:color="auto"/>
            <w:bottom w:val="none" w:sz="0" w:space="0" w:color="auto"/>
            <w:right w:val="none" w:sz="0" w:space="0" w:color="auto"/>
          </w:divBdr>
        </w:div>
        <w:div w:id="431248774">
          <w:marLeft w:val="0"/>
          <w:marRight w:val="0"/>
          <w:marTop w:val="0"/>
          <w:marBottom w:val="0"/>
          <w:divBdr>
            <w:top w:val="none" w:sz="0" w:space="0" w:color="auto"/>
            <w:left w:val="none" w:sz="0" w:space="0" w:color="auto"/>
            <w:bottom w:val="none" w:sz="0" w:space="0" w:color="auto"/>
            <w:right w:val="none" w:sz="0" w:space="0" w:color="auto"/>
          </w:divBdr>
        </w:div>
        <w:div w:id="545720593">
          <w:marLeft w:val="0"/>
          <w:marRight w:val="0"/>
          <w:marTop w:val="0"/>
          <w:marBottom w:val="0"/>
          <w:divBdr>
            <w:top w:val="none" w:sz="0" w:space="0" w:color="auto"/>
            <w:left w:val="none" w:sz="0" w:space="0" w:color="auto"/>
            <w:bottom w:val="none" w:sz="0" w:space="0" w:color="auto"/>
            <w:right w:val="none" w:sz="0" w:space="0" w:color="auto"/>
          </w:divBdr>
        </w:div>
        <w:div w:id="680355865">
          <w:marLeft w:val="0"/>
          <w:marRight w:val="0"/>
          <w:marTop w:val="0"/>
          <w:marBottom w:val="0"/>
          <w:divBdr>
            <w:top w:val="none" w:sz="0" w:space="0" w:color="auto"/>
            <w:left w:val="none" w:sz="0" w:space="0" w:color="auto"/>
            <w:bottom w:val="none" w:sz="0" w:space="0" w:color="auto"/>
            <w:right w:val="none" w:sz="0" w:space="0" w:color="auto"/>
          </w:divBdr>
        </w:div>
        <w:div w:id="692341753">
          <w:marLeft w:val="0"/>
          <w:marRight w:val="0"/>
          <w:marTop w:val="0"/>
          <w:marBottom w:val="0"/>
          <w:divBdr>
            <w:top w:val="none" w:sz="0" w:space="0" w:color="auto"/>
            <w:left w:val="none" w:sz="0" w:space="0" w:color="auto"/>
            <w:bottom w:val="none" w:sz="0" w:space="0" w:color="auto"/>
            <w:right w:val="none" w:sz="0" w:space="0" w:color="auto"/>
          </w:divBdr>
        </w:div>
        <w:div w:id="725252480">
          <w:marLeft w:val="0"/>
          <w:marRight w:val="0"/>
          <w:marTop w:val="0"/>
          <w:marBottom w:val="0"/>
          <w:divBdr>
            <w:top w:val="none" w:sz="0" w:space="0" w:color="auto"/>
            <w:left w:val="none" w:sz="0" w:space="0" w:color="auto"/>
            <w:bottom w:val="none" w:sz="0" w:space="0" w:color="auto"/>
            <w:right w:val="none" w:sz="0" w:space="0" w:color="auto"/>
          </w:divBdr>
        </w:div>
        <w:div w:id="753430161">
          <w:marLeft w:val="0"/>
          <w:marRight w:val="0"/>
          <w:marTop w:val="0"/>
          <w:marBottom w:val="0"/>
          <w:divBdr>
            <w:top w:val="none" w:sz="0" w:space="0" w:color="auto"/>
            <w:left w:val="none" w:sz="0" w:space="0" w:color="auto"/>
            <w:bottom w:val="none" w:sz="0" w:space="0" w:color="auto"/>
            <w:right w:val="none" w:sz="0" w:space="0" w:color="auto"/>
          </w:divBdr>
        </w:div>
        <w:div w:id="852450709">
          <w:marLeft w:val="0"/>
          <w:marRight w:val="0"/>
          <w:marTop w:val="0"/>
          <w:marBottom w:val="0"/>
          <w:divBdr>
            <w:top w:val="none" w:sz="0" w:space="0" w:color="auto"/>
            <w:left w:val="none" w:sz="0" w:space="0" w:color="auto"/>
            <w:bottom w:val="none" w:sz="0" w:space="0" w:color="auto"/>
            <w:right w:val="none" w:sz="0" w:space="0" w:color="auto"/>
          </w:divBdr>
        </w:div>
        <w:div w:id="1059521641">
          <w:marLeft w:val="0"/>
          <w:marRight w:val="0"/>
          <w:marTop w:val="0"/>
          <w:marBottom w:val="0"/>
          <w:divBdr>
            <w:top w:val="none" w:sz="0" w:space="0" w:color="auto"/>
            <w:left w:val="none" w:sz="0" w:space="0" w:color="auto"/>
            <w:bottom w:val="none" w:sz="0" w:space="0" w:color="auto"/>
            <w:right w:val="none" w:sz="0" w:space="0" w:color="auto"/>
          </w:divBdr>
        </w:div>
        <w:div w:id="1346637494">
          <w:marLeft w:val="0"/>
          <w:marRight w:val="0"/>
          <w:marTop w:val="0"/>
          <w:marBottom w:val="0"/>
          <w:divBdr>
            <w:top w:val="none" w:sz="0" w:space="0" w:color="auto"/>
            <w:left w:val="none" w:sz="0" w:space="0" w:color="auto"/>
            <w:bottom w:val="none" w:sz="0" w:space="0" w:color="auto"/>
            <w:right w:val="none" w:sz="0" w:space="0" w:color="auto"/>
          </w:divBdr>
        </w:div>
        <w:div w:id="1431389323">
          <w:marLeft w:val="0"/>
          <w:marRight w:val="0"/>
          <w:marTop w:val="0"/>
          <w:marBottom w:val="0"/>
          <w:divBdr>
            <w:top w:val="none" w:sz="0" w:space="0" w:color="auto"/>
            <w:left w:val="none" w:sz="0" w:space="0" w:color="auto"/>
            <w:bottom w:val="none" w:sz="0" w:space="0" w:color="auto"/>
            <w:right w:val="none" w:sz="0" w:space="0" w:color="auto"/>
          </w:divBdr>
        </w:div>
        <w:div w:id="1489707057">
          <w:marLeft w:val="0"/>
          <w:marRight w:val="0"/>
          <w:marTop w:val="0"/>
          <w:marBottom w:val="0"/>
          <w:divBdr>
            <w:top w:val="none" w:sz="0" w:space="0" w:color="auto"/>
            <w:left w:val="none" w:sz="0" w:space="0" w:color="auto"/>
            <w:bottom w:val="none" w:sz="0" w:space="0" w:color="auto"/>
            <w:right w:val="none" w:sz="0" w:space="0" w:color="auto"/>
          </w:divBdr>
        </w:div>
        <w:div w:id="1505781187">
          <w:marLeft w:val="0"/>
          <w:marRight w:val="0"/>
          <w:marTop w:val="0"/>
          <w:marBottom w:val="0"/>
          <w:divBdr>
            <w:top w:val="none" w:sz="0" w:space="0" w:color="auto"/>
            <w:left w:val="none" w:sz="0" w:space="0" w:color="auto"/>
            <w:bottom w:val="none" w:sz="0" w:space="0" w:color="auto"/>
            <w:right w:val="none" w:sz="0" w:space="0" w:color="auto"/>
          </w:divBdr>
        </w:div>
        <w:div w:id="1566407271">
          <w:marLeft w:val="0"/>
          <w:marRight w:val="0"/>
          <w:marTop w:val="0"/>
          <w:marBottom w:val="0"/>
          <w:divBdr>
            <w:top w:val="none" w:sz="0" w:space="0" w:color="auto"/>
            <w:left w:val="none" w:sz="0" w:space="0" w:color="auto"/>
            <w:bottom w:val="none" w:sz="0" w:space="0" w:color="auto"/>
            <w:right w:val="none" w:sz="0" w:space="0" w:color="auto"/>
          </w:divBdr>
        </w:div>
        <w:div w:id="1823232138">
          <w:marLeft w:val="0"/>
          <w:marRight w:val="0"/>
          <w:marTop w:val="0"/>
          <w:marBottom w:val="0"/>
          <w:divBdr>
            <w:top w:val="none" w:sz="0" w:space="0" w:color="auto"/>
            <w:left w:val="none" w:sz="0" w:space="0" w:color="auto"/>
            <w:bottom w:val="none" w:sz="0" w:space="0" w:color="auto"/>
            <w:right w:val="none" w:sz="0" w:space="0" w:color="auto"/>
          </w:divBdr>
        </w:div>
        <w:div w:id="1842354542">
          <w:marLeft w:val="0"/>
          <w:marRight w:val="0"/>
          <w:marTop w:val="0"/>
          <w:marBottom w:val="0"/>
          <w:divBdr>
            <w:top w:val="none" w:sz="0" w:space="0" w:color="auto"/>
            <w:left w:val="none" w:sz="0" w:space="0" w:color="auto"/>
            <w:bottom w:val="none" w:sz="0" w:space="0" w:color="auto"/>
            <w:right w:val="none" w:sz="0" w:space="0" w:color="auto"/>
          </w:divBdr>
        </w:div>
        <w:div w:id="1919318332">
          <w:marLeft w:val="0"/>
          <w:marRight w:val="0"/>
          <w:marTop w:val="0"/>
          <w:marBottom w:val="0"/>
          <w:divBdr>
            <w:top w:val="none" w:sz="0" w:space="0" w:color="auto"/>
            <w:left w:val="none" w:sz="0" w:space="0" w:color="auto"/>
            <w:bottom w:val="none" w:sz="0" w:space="0" w:color="auto"/>
            <w:right w:val="none" w:sz="0" w:space="0" w:color="auto"/>
          </w:divBdr>
        </w:div>
      </w:divsChild>
    </w:div>
    <w:div w:id="1180393039">
      <w:bodyDiv w:val="1"/>
      <w:marLeft w:val="0"/>
      <w:marRight w:val="0"/>
      <w:marTop w:val="0"/>
      <w:marBottom w:val="0"/>
      <w:divBdr>
        <w:top w:val="none" w:sz="0" w:space="0" w:color="auto"/>
        <w:left w:val="none" w:sz="0" w:space="0" w:color="auto"/>
        <w:bottom w:val="none" w:sz="0" w:space="0" w:color="auto"/>
        <w:right w:val="none" w:sz="0" w:space="0" w:color="auto"/>
      </w:divBdr>
      <w:divsChild>
        <w:div w:id="401559838">
          <w:marLeft w:val="0"/>
          <w:marRight w:val="0"/>
          <w:marTop w:val="0"/>
          <w:marBottom w:val="0"/>
          <w:divBdr>
            <w:top w:val="none" w:sz="0" w:space="0" w:color="auto"/>
            <w:left w:val="none" w:sz="0" w:space="0" w:color="auto"/>
            <w:bottom w:val="none" w:sz="0" w:space="0" w:color="auto"/>
            <w:right w:val="none" w:sz="0" w:space="0" w:color="auto"/>
          </w:divBdr>
          <w:divsChild>
            <w:div w:id="468784994">
              <w:marLeft w:val="0"/>
              <w:marRight w:val="0"/>
              <w:marTop w:val="120"/>
              <w:marBottom w:val="0"/>
              <w:divBdr>
                <w:top w:val="none" w:sz="0" w:space="0" w:color="auto"/>
                <w:left w:val="none" w:sz="0" w:space="0" w:color="auto"/>
                <w:bottom w:val="none" w:sz="0" w:space="0" w:color="auto"/>
                <w:right w:val="none" w:sz="0" w:space="0" w:color="auto"/>
              </w:divBdr>
            </w:div>
            <w:div w:id="596451528">
              <w:marLeft w:val="0"/>
              <w:marRight w:val="0"/>
              <w:marTop w:val="0"/>
              <w:marBottom w:val="0"/>
              <w:divBdr>
                <w:top w:val="none" w:sz="0" w:space="0" w:color="auto"/>
                <w:left w:val="none" w:sz="0" w:space="0" w:color="auto"/>
                <w:bottom w:val="none" w:sz="0" w:space="0" w:color="auto"/>
                <w:right w:val="none" w:sz="0" w:space="0" w:color="auto"/>
              </w:divBdr>
            </w:div>
          </w:divsChild>
        </w:div>
        <w:div w:id="1663850029">
          <w:marLeft w:val="0"/>
          <w:marRight w:val="0"/>
          <w:marTop w:val="0"/>
          <w:marBottom w:val="0"/>
          <w:divBdr>
            <w:top w:val="none" w:sz="0" w:space="0" w:color="auto"/>
            <w:left w:val="none" w:sz="0" w:space="0" w:color="auto"/>
            <w:bottom w:val="none" w:sz="0" w:space="0" w:color="auto"/>
            <w:right w:val="none" w:sz="0" w:space="0" w:color="auto"/>
          </w:divBdr>
          <w:divsChild>
            <w:div w:id="42759449">
              <w:marLeft w:val="0"/>
              <w:marRight w:val="0"/>
              <w:marTop w:val="0"/>
              <w:marBottom w:val="0"/>
              <w:divBdr>
                <w:top w:val="none" w:sz="0" w:space="0" w:color="auto"/>
                <w:left w:val="none" w:sz="0" w:space="0" w:color="auto"/>
                <w:bottom w:val="none" w:sz="0" w:space="0" w:color="auto"/>
                <w:right w:val="none" w:sz="0" w:space="0" w:color="auto"/>
              </w:divBdr>
            </w:div>
            <w:div w:id="1734154081">
              <w:marLeft w:val="0"/>
              <w:marRight w:val="0"/>
              <w:marTop w:val="120"/>
              <w:marBottom w:val="0"/>
              <w:divBdr>
                <w:top w:val="none" w:sz="0" w:space="0" w:color="auto"/>
                <w:left w:val="none" w:sz="0" w:space="0" w:color="auto"/>
                <w:bottom w:val="none" w:sz="0" w:space="0" w:color="auto"/>
                <w:right w:val="none" w:sz="0" w:space="0" w:color="auto"/>
              </w:divBdr>
            </w:div>
          </w:divsChild>
        </w:div>
        <w:div w:id="2048331992">
          <w:marLeft w:val="0"/>
          <w:marRight w:val="0"/>
          <w:marTop w:val="0"/>
          <w:marBottom w:val="0"/>
          <w:divBdr>
            <w:top w:val="none" w:sz="0" w:space="0" w:color="auto"/>
            <w:left w:val="none" w:sz="0" w:space="0" w:color="auto"/>
            <w:bottom w:val="none" w:sz="0" w:space="0" w:color="auto"/>
            <w:right w:val="none" w:sz="0" w:space="0" w:color="auto"/>
          </w:divBdr>
          <w:divsChild>
            <w:div w:id="22482273">
              <w:marLeft w:val="0"/>
              <w:marRight w:val="0"/>
              <w:marTop w:val="120"/>
              <w:marBottom w:val="0"/>
              <w:divBdr>
                <w:top w:val="none" w:sz="0" w:space="0" w:color="auto"/>
                <w:left w:val="none" w:sz="0" w:space="0" w:color="auto"/>
                <w:bottom w:val="none" w:sz="0" w:space="0" w:color="auto"/>
                <w:right w:val="none" w:sz="0" w:space="0" w:color="auto"/>
              </w:divBdr>
            </w:div>
            <w:div w:id="1075858334">
              <w:marLeft w:val="0"/>
              <w:marRight w:val="0"/>
              <w:marTop w:val="0"/>
              <w:marBottom w:val="0"/>
              <w:divBdr>
                <w:top w:val="none" w:sz="0" w:space="0" w:color="auto"/>
                <w:left w:val="none" w:sz="0" w:space="0" w:color="auto"/>
                <w:bottom w:val="none" w:sz="0" w:space="0" w:color="auto"/>
                <w:right w:val="none" w:sz="0" w:space="0" w:color="auto"/>
              </w:divBdr>
            </w:div>
          </w:divsChild>
        </w:div>
        <w:div w:id="2111585634">
          <w:marLeft w:val="0"/>
          <w:marRight w:val="0"/>
          <w:marTop w:val="0"/>
          <w:marBottom w:val="0"/>
          <w:divBdr>
            <w:top w:val="none" w:sz="0" w:space="0" w:color="auto"/>
            <w:left w:val="none" w:sz="0" w:space="0" w:color="auto"/>
            <w:bottom w:val="none" w:sz="0" w:space="0" w:color="auto"/>
            <w:right w:val="none" w:sz="0" w:space="0" w:color="auto"/>
          </w:divBdr>
          <w:divsChild>
            <w:div w:id="195194087">
              <w:marLeft w:val="0"/>
              <w:marRight w:val="0"/>
              <w:marTop w:val="0"/>
              <w:marBottom w:val="0"/>
              <w:divBdr>
                <w:top w:val="none" w:sz="0" w:space="0" w:color="auto"/>
                <w:left w:val="none" w:sz="0" w:space="0" w:color="auto"/>
                <w:bottom w:val="none" w:sz="0" w:space="0" w:color="auto"/>
                <w:right w:val="none" w:sz="0" w:space="0" w:color="auto"/>
              </w:divBdr>
            </w:div>
            <w:div w:id="101923314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84952549">
      <w:bodyDiv w:val="1"/>
      <w:marLeft w:val="0"/>
      <w:marRight w:val="0"/>
      <w:marTop w:val="0"/>
      <w:marBottom w:val="0"/>
      <w:divBdr>
        <w:top w:val="none" w:sz="0" w:space="0" w:color="auto"/>
        <w:left w:val="none" w:sz="0" w:space="0" w:color="auto"/>
        <w:bottom w:val="none" w:sz="0" w:space="0" w:color="auto"/>
        <w:right w:val="none" w:sz="0" w:space="0" w:color="auto"/>
      </w:divBdr>
    </w:div>
    <w:div w:id="1656912845">
      <w:bodyDiv w:val="1"/>
      <w:marLeft w:val="0"/>
      <w:marRight w:val="0"/>
      <w:marTop w:val="0"/>
      <w:marBottom w:val="0"/>
      <w:divBdr>
        <w:top w:val="none" w:sz="0" w:space="0" w:color="auto"/>
        <w:left w:val="none" w:sz="0" w:space="0" w:color="auto"/>
        <w:bottom w:val="none" w:sz="0" w:space="0" w:color="auto"/>
        <w:right w:val="none" w:sz="0" w:space="0" w:color="auto"/>
      </w:divBdr>
    </w:div>
    <w:div w:id="1679112985">
      <w:bodyDiv w:val="1"/>
      <w:marLeft w:val="0"/>
      <w:marRight w:val="0"/>
      <w:marTop w:val="0"/>
      <w:marBottom w:val="0"/>
      <w:divBdr>
        <w:top w:val="none" w:sz="0" w:space="0" w:color="auto"/>
        <w:left w:val="none" w:sz="0" w:space="0" w:color="auto"/>
        <w:bottom w:val="none" w:sz="0" w:space="0" w:color="auto"/>
        <w:right w:val="none" w:sz="0" w:space="0" w:color="auto"/>
      </w:divBdr>
    </w:div>
    <w:div w:id="1757819130">
      <w:bodyDiv w:val="1"/>
      <w:marLeft w:val="0"/>
      <w:marRight w:val="0"/>
      <w:marTop w:val="0"/>
      <w:marBottom w:val="0"/>
      <w:divBdr>
        <w:top w:val="none" w:sz="0" w:space="0" w:color="auto"/>
        <w:left w:val="none" w:sz="0" w:space="0" w:color="auto"/>
        <w:bottom w:val="none" w:sz="0" w:space="0" w:color="auto"/>
        <w:right w:val="none" w:sz="0" w:space="0" w:color="auto"/>
      </w:divBdr>
    </w:div>
    <w:div w:id="1906527584">
      <w:bodyDiv w:val="1"/>
      <w:marLeft w:val="0"/>
      <w:marRight w:val="0"/>
      <w:marTop w:val="0"/>
      <w:marBottom w:val="0"/>
      <w:divBdr>
        <w:top w:val="none" w:sz="0" w:space="0" w:color="auto"/>
        <w:left w:val="none" w:sz="0" w:space="0" w:color="auto"/>
        <w:bottom w:val="none" w:sz="0" w:space="0" w:color="auto"/>
        <w:right w:val="none" w:sz="0" w:space="0" w:color="auto"/>
      </w:divBdr>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 w:id="209269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mst.dk/media/kqyb2h5i/habitatvejledningen.pdf" TargetMode="External"/></Relationships>
</file>

<file path=word/theme/theme1.xml><?xml version="1.0" encoding="utf-8"?>
<a:theme xmlns:a="http://schemas.openxmlformats.org/drawingml/2006/main" name="Kontortema">
  <a:themeElements>
    <a:clrScheme name="MFVM - Miljøstyrelsen">
      <a:dk1>
        <a:srgbClr val="000000"/>
      </a:dk1>
      <a:lt1>
        <a:sysClr val="window" lastClr="FFFFFF"/>
      </a:lt1>
      <a:dk2>
        <a:srgbClr val="BFE1D2"/>
      </a:dk2>
      <a:lt2>
        <a:srgbClr val="E5F3ED"/>
      </a:lt2>
      <a:accent1>
        <a:srgbClr val="00874B"/>
      </a:accent1>
      <a:accent2>
        <a:srgbClr val="003127"/>
      </a:accent2>
      <a:accent3>
        <a:srgbClr val="0085AD"/>
      </a:accent3>
      <a:accent4>
        <a:srgbClr val="33B9C4"/>
      </a:accent4>
      <a:accent5>
        <a:srgbClr val="ABBC38"/>
      </a:accent5>
      <a:accent6>
        <a:srgbClr val="EFDB6C"/>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FC211-40BC-465C-80EC-5218F8E3E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3885</Words>
  <Characters>23272</Characters>
  <Application>Microsoft Office Word</Application>
  <DocSecurity>0</DocSecurity>
  <Lines>369</Lines>
  <Paragraphs>75</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Brev</vt:lpstr>
      <vt:lpstr>Brev</vt:lpstr>
      <vt:lpstr/>
    </vt:vector>
  </TitlesOfParts>
  <Company>Miljøministeriet</Company>
  <LinksUpToDate>false</LinksUpToDate>
  <CharactersWithSpaces>27082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Miljø- og Fødevareministeriet</dc:creator>
  <cp:keywords/>
  <dc:description/>
  <cp:lastModifiedBy>Katrine Skovsen</cp:lastModifiedBy>
  <cp:revision>2</cp:revision>
  <cp:lastPrinted>2005-05-20T12:11:00Z</cp:lastPrinted>
  <dcterms:created xsi:type="dcterms:W3CDTF">2024-12-10T08:29:00Z</dcterms:created>
  <dcterms:modified xsi:type="dcterms:W3CDTF">2024-12-10T08:29:00Z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Almindeligt brev</vt:lpwstr>
  </property>
  <property fmtid="{D5CDD505-2E9C-101B-9397-08002B2CF9AE}" pid="4" name="KC_DocType">
    <vt:lpwstr>Almindeligt brev</vt:lpwstr>
  </property>
  <property fmtid="{D5CDD505-2E9C-101B-9397-08002B2CF9AE}" pid="5" name="SD_KeepOpenIfEmpty">
    <vt:lpwstr>False</vt:lpwstr>
  </property>
  <property fmtid="{D5CDD505-2E9C-101B-9397-08002B2CF9AE}" pid="6" name="SD_BrandingGraphicBehavior">
    <vt:lpwstr>Standard</vt:lpwstr>
  </property>
  <property fmtid="{D5CDD505-2E9C-101B-9397-08002B2CF9AE}" pid="7" name="ContentDefinition">
    <vt:lpwstr>Brev</vt:lpwstr>
  </property>
  <property fmtid="{D5CDD505-2E9C-101B-9397-08002B2CF9AE}" pid="8" name="SD_RunWordEngine">
    <vt:lpwstr>True</vt:lpwstr>
  </property>
  <property fmtid="{D5CDD505-2E9C-101B-9397-08002B2CF9AE}" pid="9" name="SD_ShowDocumentInfo">
    <vt:lpwstr>True</vt:lpwstr>
  </property>
  <property fmtid="{D5CDD505-2E9C-101B-9397-08002B2CF9AE}" pid="10" name="SD_ShowGeneralPanel">
    <vt:lpwstr>True</vt:lpwstr>
  </property>
  <property fmtid="{D5CDD505-2E9C-101B-9397-08002B2CF9AE}" pid="11" name="ContentRemapped">
    <vt:lpwstr>true</vt:lpwstr>
  </property>
  <property fmtid="{D5CDD505-2E9C-101B-9397-08002B2CF9AE}" pid="12" name="SD_DocumentLanguage">
    <vt:lpwstr>da-DK</vt:lpwstr>
  </property>
  <property fmtid="{D5CDD505-2E9C-101B-9397-08002B2CF9AE}" pid="13" name="sdDocumentDate">
    <vt:lpwstr>44208</vt:lpwstr>
  </property>
  <property fmtid="{D5CDD505-2E9C-101B-9397-08002B2CF9AE}" pid="14" name="sdDocumentDateFormat">
    <vt:lpwstr>da-DK:'Den' d. MMMM yyyy</vt:lpwstr>
  </property>
  <property fmtid="{D5CDD505-2E9C-101B-9397-08002B2CF9AE}" pid="15" name="SD_DocumentLanguageString">
    <vt:lpwstr>Dansk</vt:lpwstr>
  </property>
  <property fmtid="{D5CDD505-2E9C-101B-9397-08002B2CF9AE}" pid="16" name="SD_CtlText_Usersettings_Userprofile">
    <vt:lpwstr>David Rosendahl</vt:lpwstr>
  </property>
  <property fmtid="{D5CDD505-2E9C-101B-9397-08002B2CF9AE}" pid="17" name="SD_CtlText_Generelt_CaseNoF2">
    <vt:lpwstr/>
  </property>
  <property fmtid="{D5CDD505-2E9C-101B-9397-08002B2CF9AE}" pid="18" name="SD_UserprofileName">
    <vt:lpwstr>David Rosendahl</vt:lpwstr>
  </property>
  <property fmtid="{D5CDD505-2E9C-101B-9397-08002B2CF9AE}" pid="19" name="SD_Office_OFF_ID">
    <vt:lpwstr>117</vt:lpwstr>
  </property>
  <property fmtid="{D5CDD505-2E9C-101B-9397-08002B2CF9AE}" pid="20" name="CurrentOfficeID">
    <vt:lpwstr>117</vt:lpwstr>
  </property>
  <property fmtid="{D5CDD505-2E9C-101B-9397-08002B2CF9AE}" pid="21" name="SD_Office_OFF_Organisation">
    <vt:lpwstr>MST</vt:lpwstr>
  </property>
  <property fmtid="{D5CDD505-2E9C-101B-9397-08002B2CF9AE}" pid="22" name="SD_Office_OFF_ArtworkDefinition">
    <vt:lpwstr>MFVM</vt:lpwstr>
  </property>
  <property fmtid="{D5CDD505-2E9C-101B-9397-08002B2CF9AE}" pid="23" name="SD_Office_OFF_LogoFileName">
    <vt:lpwstr>MST</vt:lpwstr>
  </property>
  <property fmtid="{D5CDD505-2E9C-101B-9397-08002B2CF9AE}" pid="24" name="SD_Office_OFF_Institution">
    <vt:lpwstr>Miljøstyrelsen</vt:lpwstr>
  </property>
  <property fmtid="{D5CDD505-2E9C-101B-9397-08002B2CF9AE}" pid="25" name="SD_Office_OFF_Institution_EN">
    <vt:lpwstr>Environmental Protection Agency</vt:lpwstr>
  </property>
  <property fmtid="{D5CDD505-2E9C-101B-9397-08002B2CF9AE}" pid="26" name="SD_Office_OFF_kontor">
    <vt:lpwstr>Organisation &amp; Digitalisering</vt:lpwstr>
  </property>
  <property fmtid="{D5CDD505-2E9C-101B-9397-08002B2CF9AE}" pid="27" name="SD_Office_OFF_Department">
    <vt:lpwstr>Organisation &amp; Digitalisering</vt:lpwstr>
  </property>
  <property fmtid="{D5CDD505-2E9C-101B-9397-08002B2CF9AE}" pid="28" name="SD_Office_OFF_Department_EN">
    <vt:lpwstr>Organisation and Digitisation</vt:lpwstr>
  </property>
  <property fmtid="{D5CDD505-2E9C-101B-9397-08002B2CF9AE}" pid="29" name="SD_Office_OFF_Footertext">
    <vt:lpwstr/>
  </property>
  <property fmtid="{D5CDD505-2E9C-101B-9397-08002B2CF9AE}" pid="30" name="SD_Office_OFF_AddressA">
    <vt:lpwstr>Tolderlundsvej 5</vt:lpwstr>
  </property>
  <property fmtid="{D5CDD505-2E9C-101B-9397-08002B2CF9AE}" pid="31" name="SD_Office_OFF_AddressB">
    <vt:lpwstr/>
  </property>
  <property fmtid="{D5CDD505-2E9C-101B-9397-08002B2CF9AE}" pid="32" name="SD_Office_OFF_AddressC">
    <vt:lpwstr/>
  </property>
  <property fmtid="{D5CDD505-2E9C-101B-9397-08002B2CF9AE}" pid="33" name="SD_Office_OFF_AddressCollected">
    <vt:lpwstr>Tolderlundsvej 5</vt:lpwstr>
  </property>
  <property fmtid="{D5CDD505-2E9C-101B-9397-08002B2CF9AE}" pid="34" name="SD_Office_OFF_AddressD">
    <vt:lpwstr>5000</vt:lpwstr>
  </property>
  <property fmtid="{D5CDD505-2E9C-101B-9397-08002B2CF9AE}" pid="35" name="SD_Office_OFF_City">
    <vt:lpwstr>Odense C</vt:lpwstr>
  </property>
  <property fmtid="{D5CDD505-2E9C-101B-9397-08002B2CF9AE}" pid="36" name="SD_Office_OFF_City_EN">
    <vt:lpwstr>Odense C Denmark</vt:lpwstr>
  </property>
  <property fmtid="{D5CDD505-2E9C-101B-9397-08002B2CF9AE}" pid="37" name="SD_Office_OFF_Phone">
    <vt:lpwstr>72 54 40 00</vt:lpwstr>
  </property>
  <property fmtid="{D5CDD505-2E9C-101B-9397-08002B2CF9AE}" pid="38" name="SD_Office_OFF_Phone_EN">
    <vt:lpwstr>+45 72 54 40 00</vt:lpwstr>
  </property>
  <property fmtid="{D5CDD505-2E9C-101B-9397-08002B2CF9AE}" pid="39" name="SD_Office_OFF_Fax">
    <vt:lpwstr/>
  </property>
  <property fmtid="{D5CDD505-2E9C-101B-9397-08002B2CF9AE}" pid="40" name="SD_Office_OFF_Fax_EN">
    <vt:lpwstr/>
  </property>
  <property fmtid="{D5CDD505-2E9C-101B-9397-08002B2CF9AE}" pid="41" name="SD_Office_OFF_Email">
    <vt:lpwstr>mst@mst.dk</vt:lpwstr>
  </property>
  <property fmtid="{D5CDD505-2E9C-101B-9397-08002B2CF9AE}" pid="42" name="SD_Office_OFF_Web">
    <vt:lpwstr>www.mst.dk</vt:lpwstr>
  </property>
  <property fmtid="{D5CDD505-2E9C-101B-9397-08002B2CF9AE}" pid="43" name="SD_Office_OFF_CVR">
    <vt:lpwstr>25798376</vt:lpwstr>
  </property>
  <property fmtid="{D5CDD505-2E9C-101B-9397-08002B2CF9AE}" pid="44" name="SD_Office_OFF_EAN">
    <vt:lpwstr>5798000860810</vt:lpwstr>
  </property>
  <property fmtid="{D5CDD505-2E9C-101B-9397-08002B2CF9AE}" pid="45" name="SD_Office_OFF_EAN_EN">
    <vt:lpwstr>5798000860810</vt:lpwstr>
  </property>
  <property fmtid="{D5CDD505-2E9C-101B-9397-08002B2CF9AE}" pid="46" name="SD_Office_OFF_ColorTheme">
    <vt:lpwstr>MFVM - Miljøstyrelsen</vt:lpwstr>
  </property>
  <property fmtid="{D5CDD505-2E9C-101B-9397-08002B2CF9AE}" pid="47" name="LastCompletedArtworkDefinition">
    <vt:lpwstr>MFVM</vt:lpwstr>
  </property>
  <property fmtid="{D5CDD505-2E9C-101B-9397-08002B2CF9AE}" pid="48" name="USR_Name">
    <vt:lpwstr>David Rosendahl</vt:lpwstr>
  </property>
  <property fmtid="{D5CDD505-2E9C-101B-9397-08002B2CF9AE}" pid="49" name="USR_Initials">
    <vt:lpwstr>DAROS</vt:lpwstr>
  </property>
  <property fmtid="{D5CDD505-2E9C-101B-9397-08002B2CF9AE}" pid="50" name="USR_Title">
    <vt:lpwstr>AC-tekniker</vt:lpwstr>
  </property>
  <property fmtid="{D5CDD505-2E9C-101B-9397-08002B2CF9AE}" pid="51" name="USR_DirectPhone">
    <vt:lpwstr>+45 40 35 69 44</vt:lpwstr>
  </property>
  <property fmtid="{D5CDD505-2E9C-101B-9397-08002B2CF9AE}" pid="52" name="USR_Mobile">
    <vt:lpwstr>+45 40 35 69 44</vt:lpwstr>
  </property>
  <property fmtid="{D5CDD505-2E9C-101B-9397-08002B2CF9AE}" pid="53" name="USR_Email">
    <vt:lpwstr>daros@mst.dk</vt:lpwstr>
  </property>
  <property fmtid="{D5CDD505-2E9C-101B-9397-08002B2CF9AE}" pid="54" name="DocumentInfoFinished">
    <vt:lpwstr>True</vt:lpwstr>
  </property>
</Properties>
</file>