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F9769D" w14:textId="77777777" w:rsidR="001F5B2C" w:rsidRDefault="001F5B2C" w:rsidP="00C823F4">
      <w:pPr>
        <w:rPr>
          <w:b/>
          <w:sz w:val="22"/>
          <w:szCs w:val="22"/>
        </w:rPr>
      </w:pPr>
    </w:p>
    <w:p w14:paraId="0600B556" w14:textId="77777777" w:rsidR="001F5B2C" w:rsidRDefault="001F5B2C" w:rsidP="00C823F4">
      <w:pPr>
        <w:rPr>
          <w:b/>
          <w:sz w:val="22"/>
          <w:szCs w:val="22"/>
        </w:rPr>
      </w:pPr>
    </w:p>
    <w:p w14:paraId="20101AE1" w14:textId="24A6C42C" w:rsidR="006479EE" w:rsidRPr="006479EE" w:rsidRDefault="00C823F4" w:rsidP="006479EE">
      <w:pPr>
        <w:rPr>
          <w:b/>
          <w:sz w:val="22"/>
          <w:szCs w:val="22"/>
        </w:rPr>
      </w:pPr>
      <w:r>
        <w:rPr>
          <w:b/>
          <w:sz w:val="22"/>
          <w:szCs w:val="22"/>
        </w:rPr>
        <w:t>U</w:t>
      </w:r>
      <w:r w:rsidRPr="00173DDC">
        <w:rPr>
          <w:b/>
          <w:sz w:val="22"/>
          <w:szCs w:val="22"/>
        </w:rPr>
        <w:t>dvælgelseskriterier</w:t>
      </w:r>
      <w:r w:rsidR="006479EE">
        <w:rPr>
          <w:b/>
          <w:sz w:val="22"/>
          <w:szCs w:val="22"/>
        </w:rPr>
        <w:t xml:space="preserve"> - </w:t>
      </w:r>
      <w:r w:rsidR="006479EE" w:rsidRPr="006479EE">
        <w:rPr>
          <w:b/>
          <w:sz w:val="22"/>
          <w:szCs w:val="22"/>
        </w:rPr>
        <w:t>projekttilskud fra jagttegnsmidlerne oktober 2023</w:t>
      </w:r>
    </w:p>
    <w:p w14:paraId="023DAF82" w14:textId="56EB86FF" w:rsidR="00C823F4" w:rsidRPr="00173DDC" w:rsidRDefault="00C823F4" w:rsidP="00C823F4">
      <w:pPr>
        <w:rPr>
          <w:b/>
          <w:sz w:val="22"/>
          <w:szCs w:val="22"/>
        </w:rPr>
      </w:pPr>
    </w:p>
    <w:p w14:paraId="1382D1AA" w14:textId="0C9CC4FF" w:rsidR="00C823F4" w:rsidRDefault="00C823F4" w:rsidP="00C823F4">
      <w:pPr>
        <w:rPr>
          <w:b/>
        </w:rPr>
      </w:pPr>
    </w:p>
    <w:p w14:paraId="753E1173" w14:textId="62683579" w:rsidR="00206CD4" w:rsidRPr="008C79B2" w:rsidRDefault="00206CD4" w:rsidP="00C823F4">
      <w:r w:rsidRPr="008C79B2">
        <w:t>Der vil ved udvælgelsen af projekter der tildeles tilskud, blive lagt vægt på følgende forhold:</w:t>
      </w:r>
    </w:p>
    <w:p w14:paraId="52D85A8B" w14:textId="51165C70" w:rsidR="00206CD4" w:rsidRPr="008C79B2" w:rsidRDefault="00206CD4" w:rsidP="00C823F4"/>
    <w:p w14:paraId="61E51BA3" w14:textId="4827553A" w:rsidR="00206CD4" w:rsidRDefault="00206CD4" w:rsidP="00C823F4">
      <w:pPr>
        <w:rPr>
          <w:b/>
        </w:rPr>
      </w:pPr>
      <w:r>
        <w:rPr>
          <w:b/>
        </w:rPr>
        <w:t>Projektet omhandler et eller flere af de prioriterede temaer</w:t>
      </w:r>
      <w:r w:rsidR="0087061A">
        <w:rPr>
          <w:b/>
        </w:rPr>
        <w:t xml:space="preserve"> </w:t>
      </w:r>
    </w:p>
    <w:p w14:paraId="635A7AB9" w14:textId="77777777" w:rsidR="005270C3" w:rsidRDefault="005270C3" w:rsidP="00A24B52">
      <w:pPr>
        <w:pStyle w:val="Listeafsnit"/>
        <w:numPr>
          <w:ilvl w:val="0"/>
          <w:numId w:val="3"/>
        </w:numPr>
      </w:pPr>
      <w:r>
        <w:t>Udvikling / videreudvikling af omkostningseffektive metoder til bestandsovervågning af vildt, eksempelvis brug af DNA og/eller citizen science</w:t>
      </w:r>
    </w:p>
    <w:p w14:paraId="79B3E555" w14:textId="77777777" w:rsidR="005270C3" w:rsidRDefault="005270C3" w:rsidP="008841C9">
      <w:pPr>
        <w:pStyle w:val="Listeafsnit"/>
        <w:numPr>
          <w:ilvl w:val="0"/>
          <w:numId w:val="3"/>
        </w:numPr>
      </w:pPr>
      <w:r>
        <w:t>Udvikling af omkostningseffektive tiltag og nye metoder til forbedring af pattedyrs og fugles levevilk</w:t>
      </w:r>
      <w:r w:rsidRPr="005270C3">
        <w:rPr>
          <w:rFonts w:cs="Georgia"/>
        </w:rPr>
        <w:t>å</w:t>
      </w:r>
      <w:r>
        <w:t xml:space="preserve">r i det </w:t>
      </w:r>
      <w:r w:rsidRPr="005270C3">
        <w:rPr>
          <w:rFonts w:cs="Georgia"/>
        </w:rPr>
        <w:t>å</w:t>
      </w:r>
      <w:r>
        <w:t>bne land</w:t>
      </w:r>
    </w:p>
    <w:p w14:paraId="2929086D" w14:textId="77777777" w:rsidR="005270C3" w:rsidRDefault="005270C3" w:rsidP="00F0543C">
      <w:pPr>
        <w:pStyle w:val="Listeafsnit"/>
        <w:numPr>
          <w:ilvl w:val="0"/>
          <w:numId w:val="3"/>
        </w:numPr>
      </w:pPr>
      <w:r>
        <w:t>Udvikling og afpr</w:t>
      </w:r>
      <w:r w:rsidRPr="005270C3">
        <w:rPr>
          <w:rFonts w:cs="Georgia"/>
        </w:rPr>
        <w:t>ø</w:t>
      </w:r>
      <w:r>
        <w:t>vning af nye afv</w:t>
      </w:r>
      <w:r w:rsidRPr="005270C3">
        <w:rPr>
          <w:rFonts w:cs="Georgia"/>
        </w:rPr>
        <w:t>æ</w:t>
      </w:r>
      <w:r>
        <w:t>rgeforanstaltninger</w:t>
      </w:r>
    </w:p>
    <w:p w14:paraId="64A8A7B4" w14:textId="6A611329" w:rsidR="00206CD4" w:rsidRPr="005270C3" w:rsidRDefault="005270C3" w:rsidP="00F0543C">
      <w:pPr>
        <w:pStyle w:val="Listeafsnit"/>
        <w:numPr>
          <w:ilvl w:val="0"/>
          <w:numId w:val="3"/>
        </w:numPr>
      </w:pPr>
      <w:r>
        <w:t>Unders</w:t>
      </w:r>
      <w:r w:rsidRPr="005270C3">
        <w:rPr>
          <w:rFonts w:cs="Georgia"/>
        </w:rPr>
        <w:t>ø</w:t>
      </w:r>
      <w:r>
        <w:t>gelser af forstyrrelser af fugle og pattedyr</w:t>
      </w:r>
    </w:p>
    <w:p w14:paraId="7DB5EF61" w14:textId="133F2127" w:rsidR="00206CD4" w:rsidRDefault="00206CD4" w:rsidP="00C823F4">
      <w:pPr>
        <w:rPr>
          <w:b/>
        </w:rPr>
      </w:pPr>
    </w:p>
    <w:p w14:paraId="3F98ACEC" w14:textId="20FED822" w:rsidR="008C79B2" w:rsidRDefault="008C79B2" w:rsidP="00C823F4">
      <w:pPr>
        <w:rPr>
          <w:b/>
        </w:rPr>
      </w:pPr>
    </w:p>
    <w:p w14:paraId="6BB66338" w14:textId="5F971E2E" w:rsidR="008C79B2" w:rsidRPr="008C79B2" w:rsidRDefault="008C79B2" w:rsidP="00C823F4">
      <w:r w:rsidRPr="008C79B2">
        <w:t xml:space="preserve">Derudover </w:t>
      </w:r>
      <w:r>
        <w:t>indgår følgende kriterier ved udvælgelsen af projekter:</w:t>
      </w:r>
    </w:p>
    <w:p w14:paraId="1CA92BB7" w14:textId="77777777" w:rsidR="008C79B2" w:rsidRPr="00173DDC" w:rsidRDefault="008C79B2" w:rsidP="00C823F4">
      <w:pPr>
        <w:rPr>
          <w:b/>
        </w:rPr>
      </w:pPr>
    </w:p>
    <w:p w14:paraId="1CB22C85" w14:textId="77777777" w:rsidR="00C823F4" w:rsidRPr="00173DDC" w:rsidRDefault="00C823F4" w:rsidP="00C823F4">
      <w:r w:rsidRPr="00173DDC">
        <w:rPr>
          <w:b/>
        </w:rPr>
        <w:t>Medfinansiering</w:t>
      </w:r>
    </w:p>
    <w:p w14:paraId="7A62B8EA" w14:textId="77777777" w:rsidR="00C823F4" w:rsidRPr="00173DDC" w:rsidRDefault="00C823F4" w:rsidP="00C823F4">
      <w:r w:rsidRPr="00173DDC">
        <w:t>Medfinansiering i projektet kan bestå af:</w:t>
      </w:r>
    </w:p>
    <w:p w14:paraId="385CD79A" w14:textId="3FD19585" w:rsidR="00C823F4" w:rsidRPr="00173DDC" w:rsidRDefault="00C823F4" w:rsidP="00C823F4">
      <w:pPr>
        <w:pStyle w:val="Opstilling-punkttegn"/>
      </w:pPr>
      <w:r w:rsidRPr="00173DDC">
        <w:t>ansøgers egenbetalte arbejdstimer</w:t>
      </w:r>
    </w:p>
    <w:p w14:paraId="5CC80CAE" w14:textId="77777777" w:rsidR="00C823F4" w:rsidRPr="00173DDC" w:rsidRDefault="00C823F4" w:rsidP="00C823F4">
      <w:pPr>
        <w:pStyle w:val="Opstilling-punkttegn"/>
      </w:pPr>
      <w:r w:rsidRPr="00173DDC">
        <w:t>fondsmidler, egenbetaling eller anden medfinansiering</w:t>
      </w:r>
    </w:p>
    <w:p w14:paraId="019B51F8" w14:textId="2199A534" w:rsidR="00C823F4" w:rsidRPr="00173DDC" w:rsidRDefault="00C823F4" w:rsidP="00C823F4">
      <w:pPr>
        <w:pStyle w:val="Opstilling-punkttegn"/>
      </w:pPr>
      <w:r w:rsidRPr="00173DDC">
        <w:t>anden form for økonomisk støtte ud over tilskuddet fra MST</w:t>
      </w:r>
    </w:p>
    <w:p w14:paraId="421DBA12" w14:textId="2CD204B6" w:rsidR="00C823F4" w:rsidRPr="00173DDC" w:rsidRDefault="003D52A4" w:rsidP="00C823F4">
      <w:r>
        <w:t xml:space="preserve">Bemærk at der </w:t>
      </w:r>
      <w:r w:rsidRPr="003D52A4">
        <w:rPr>
          <w:b/>
        </w:rPr>
        <w:t>kun</w:t>
      </w:r>
      <w:r w:rsidR="00C823F4" w:rsidRPr="00173DDC">
        <w:t xml:space="preserve"> </w:t>
      </w:r>
      <w:r w:rsidR="00C823F4">
        <w:t>kan</w:t>
      </w:r>
      <w:r w:rsidR="00126F4D">
        <w:t xml:space="preserve"> </w:t>
      </w:r>
      <w:r w:rsidR="00C823F4" w:rsidRPr="00735F3C">
        <w:t>medtages</w:t>
      </w:r>
      <w:r w:rsidR="00C823F4" w:rsidRPr="00173DDC">
        <w:t xml:space="preserve"> medfinansieringskilder, hvor </w:t>
      </w:r>
      <w:r w:rsidR="00C823F4">
        <w:t xml:space="preserve">ansøger </w:t>
      </w:r>
      <w:r>
        <w:t>kan dokumentere</w:t>
      </w:r>
      <w:r w:rsidR="007F1592">
        <w:t xml:space="preserve"> at have modtaget</w:t>
      </w:r>
      <w:r w:rsidR="00C823F4" w:rsidRPr="00173DDC">
        <w:t xml:space="preserve"> </w:t>
      </w:r>
      <w:r w:rsidR="00C823F4" w:rsidRPr="00DA40C1">
        <w:rPr>
          <w:b/>
        </w:rPr>
        <w:t>bindende</w:t>
      </w:r>
      <w:r w:rsidR="00C823F4" w:rsidRPr="00173DDC">
        <w:t xml:space="preserve"> forhåndstilsagn om støtte.</w:t>
      </w:r>
      <w:r w:rsidR="006479EE">
        <w:t xml:space="preserve"> Dokumentation skal vedlægges.</w:t>
      </w:r>
    </w:p>
    <w:p w14:paraId="09782473" w14:textId="77777777" w:rsidR="00C823F4" w:rsidRPr="00173DDC" w:rsidRDefault="00C823F4" w:rsidP="00C823F4"/>
    <w:p w14:paraId="611B166F" w14:textId="304C7E9A" w:rsidR="00C823F4" w:rsidRPr="00173DDC" w:rsidRDefault="00675114" w:rsidP="00C823F4">
      <w:r>
        <w:rPr>
          <w:b/>
        </w:rPr>
        <w:t>I</w:t>
      </w:r>
      <w:r w:rsidR="00C823F4" w:rsidRPr="00173DDC">
        <w:rPr>
          <w:b/>
        </w:rPr>
        <w:t xml:space="preserve">nddragelse </w:t>
      </w:r>
      <w:r>
        <w:rPr>
          <w:b/>
        </w:rPr>
        <w:t xml:space="preserve">af andre organisationer og virksomheder samt borgere </w:t>
      </w:r>
    </w:p>
    <w:p w14:paraId="6738852D" w14:textId="784AD3C3" w:rsidR="00C823F4" w:rsidRDefault="00C823F4" w:rsidP="00C823F4">
      <w:r w:rsidRPr="00173DDC">
        <w:t>Der lægges vægt på:</w:t>
      </w:r>
    </w:p>
    <w:p w14:paraId="61542428" w14:textId="53BD2516" w:rsidR="00D34753" w:rsidRDefault="00D34753" w:rsidP="00D34753">
      <w:pPr>
        <w:pStyle w:val="Opstilling-punkttegn"/>
      </w:pPr>
      <w:r>
        <w:t>Projekter der bygger på samarbejde mellem flere parter samt projekter, der inddrager interessenter, herunder borgere.</w:t>
      </w:r>
    </w:p>
    <w:p w14:paraId="07287C3B" w14:textId="77777777" w:rsidR="00C823F4" w:rsidRPr="00173DDC" w:rsidRDefault="00C823F4" w:rsidP="00C823F4"/>
    <w:p w14:paraId="37329C3B" w14:textId="7D341A0A" w:rsidR="00C823F4" w:rsidRPr="00173DDC" w:rsidRDefault="00C823F4" w:rsidP="00C823F4">
      <w:pPr>
        <w:pStyle w:val="Opstilling-punkttegn"/>
        <w:numPr>
          <w:ilvl w:val="0"/>
          <w:numId w:val="0"/>
        </w:numPr>
        <w:ind w:left="454" w:hanging="454"/>
      </w:pPr>
      <w:r w:rsidRPr="00173DDC">
        <w:rPr>
          <w:b/>
        </w:rPr>
        <w:t xml:space="preserve">Projektets aktualitet og </w:t>
      </w:r>
      <w:r w:rsidR="005A624F">
        <w:rPr>
          <w:b/>
        </w:rPr>
        <w:t>praktiske anvendelighed</w:t>
      </w:r>
      <w:r w:rsidR="00834004">
        <w:rPr>
          <w:b/>
        </w:rPr>
        <w:t xml:space="preserve"> i jagt og vildtforvaltning</w:t>
      </w:r>
    </w:p>
    <w:p w14:paraId="2BA05123" w14:textId="77777777" w:rsidR="00C823F4" w:rsidRPr="00173DDC" w:rsidRDefault="00C823F4" w:rsidP="00C823F4">
      <w:pPr>
        <w:pStyle w:val="Opstilling-punkttegn"/>
        <w:numPr>
          <w:ilvl w:val="0"/>
          <w:numId w:val="0"/>
        </w:numPr>
        <w:ind w:left="454" w:hanging="454"/>
      </w:pPr>
      <w:r w:rsidRPr="00173DDC">
        <w:t>Der lægges vægt på følgende forhold:</w:t>
      </w:r>
    </w:p>
    <w:p w14:paraId="40556D0D" w14:textId="407F0973" w:rsidR="00C823F4" w:rsidRPr="00173DDC" w:rsidRDefault="00C823F4" w:rsidP="00C823F4">
      <w:pPr>
        <w:pStyle w:val="Opstilling-punkttegn"/>
      </w:pPr>
      <w:r w:rsidRPr="00173DDC">
        <w:t xml:space="preserve">Projektet </w:t>
      </w:r>
      <w:r w:rsidR="00E97632">
        <w:t>bidrager til at lukke aktuelle videnshuller</w:t>
      </w:r>
      <w:r w:rsidRPr="00173DDC">
        <w:t xml:space="preserve"> </w:t>
      </w:r>
    </w:p>
    <w:p w14:paraId="2845748D" w14:textId="0F88EC6B" w:rsidR="00C823F4" w:rsidRPr="00173DDC" w:rsidRDefault="00C823F4" w:rsidP="00C823F4">
      <w:pPr>
        <w:pStyle w:val="Opstilling-punkttegn"/>
      </w:pPr>
      <w:r w:rsidRPr="00173DDC">
        <w:t>Generelle anvendelsesmuligheder af resultat</w:t>
      </w:r>
      <w:r w:rsidR="007F1592">
        <w:t>er,</w:t>
      </w:r>
      <w:r w:rsidRPr="00173DDC">
        <w:t xml:space="preserve"> frem</w:t>
      </w:r>
      <w:r>
        <w:t xml:space="preserve"> </w:t>
      </w:r>
      <w:r w:rsidRPr="00173DDC">
        <w:t>for lokal/isoleret anvendelse</w:t>
      </w:r>
    </w:p>
    <w:p w14:paraId="0B94FD1F" w14:textId="47EC28DC" w:rsidR="00C823F4" w:rsidRPr="00173DDC" w:rsidRDefault="00F93539" w:rsidP="00F93539">
      <w:pPr>
        <w:pStyle w:val="Opstilling-punkttegn"/>
      </w:pPr>
      <w:r>
        <w:t>A</w:t>
      </w:r>
      <w:r w:rsidR="004C1260">
        <w:t xml:space="preserve">t </w:t>
      </w:r>
      <w:r>
        <w:t>p</w:t>
      </w:r>
      <w:r w:rsidRPr="00F93539">
        <w:t xml:space="preserve">rojektet er nytænkende, men gerne </w:t>
      </w:r>
      <w:r>
        <w:t xml:space="preserve">bygger </w:t>
      </w:r>
      <w:r w:rsidRPr="00F93539">
        <w:t>på eksisterende viden og bringer den et skridt videre</w:t>
      </w:r>
    </w:p>
    <w:p w14:paraId="43F5009B" w14:textId="77777777" w:rsidR="00C823F4" w:rsidRPr="00173DDC" w:rsidRDefault="00C823F4" w:rsidP="00C823F4">
      <w:pPr>
        <w:pStyle w:val="Opstilling-punkttegn"/>
        <w:tabs>
          <w:tab w:val="left" w:pos="8647"/>
        </w:tabs>
      </w:pPr>
      <w:r w:rsidRPr="00173DDC">
        <w:t>Mulighed for omsætning af forventede projektresultater til praktisk anvendelse</w:t>
      </w:r>
    </w:p>
    <w:p w14:paraId="0E380AD8" w14:textId="77777777" w:rsidR="00C823F4" w:rsidRPr="00173DDC" w:rsidRDefault="00C823F4" w:rsidP="00C823F4">
      <w:pPr>
        <w:pStyle w:val="Opstilling-punkttegn"/>
        <w:numPr>
          <w:ilvl w:val="0"/>
          <w:numId w:val="0"/>
        </w:numPr>
        <w:ind w:left="454" w:hanging="454"/>
      </w:pPr>
    </w:p>
    <w:p w14:paraId="1704AB8E" w14:textId="77777777" w:rsidR="00C823F4" w:rsidRPr="00173DDC" w:rsidRDefault="00C823F4" w:rsidP="00C823F4">
      <w:r w:rsidRPr="00173DDC">
        <w:rPr>
          <w:b/>
        </w:rPr>
        <w:t>Projektplanens kvalitet og metodik</w:t>
      </w:r>
    </w:p>
    <w:p w14:paraId="29362B12" w14:textId="77777777" w:rsidR="00C823F4" w:rsidRPr="00173DDC" w:rsidRDefault="00C823F4" w:rsidP="00C823F4">
      <w:r w:rsidRPr="00173DDC">
        <w:t>Der lægges under dette punkt vægt på:</w:t>
      </w:r>
    </w:p>
    <w:p w14:paraId="1E1F2C21" w14:textId="77777777" w:rsidR="00C823F4" w:rsidRPr="00173DDC" w:rsidRDefault="00C823F4" w:rsidP="00C823F4">
      <w:pPr>
        <w:pStyle w:val="Opstilling-punkttegn"/>
      </w:pPr>
      <w:r w:rsidRPr="00173DDC">
        <w:t>Velbeskrevet baggrund for og formål med projektet</w:t>
      </w:r>
    </w:p>
    <w:p w14:paraId="2CECB89E" w14:textId="77777777" w:rsidR="00C823F4" w:rsidRPr="00173DDC" w:rsidRDefault="00C823F4" w:rsidP="00C823F4">
      <w:pPr>
        <w:pStyle w:val="Opstilling-punkttegn"/>
      </w:pPr>
      <w:r w:rsidRPr="00173DDC">
        <w:t>Klart beskrevet og metodisk velfunderet projektplan, herunder begrundelse for metodevalg</w:t>
      </w:r>
    </w:p>
    <w:p w14:paraId="10735BF2" w14:textId="77777777" w:rsidR="00C823F4" w:rsidRPr="00173DDC" w:rsidRDefault="00C823F4" w:rsidP="00C823F4">
      <w:pPr>
        <w:pStyle w:val="Opstilling-punkttegn"/>
      </w:pPr>
      <w:r w:rsidRPr="00173DDC">
        <w:t>Klart beskrevne projektprodukter</w:t>
      </w:r>
    </w:p>
    <w:p w14:paraId="39232994" w14:textId="77777777" w:rsidR="00C823F4" w:rsidRDefault="00C823F4" w:rsidP="00C823F4">
      <w:pPr>
        <w:pStyle w:val="Opstilling-punkttegn"/>
        <w:numPr>
          <w:ilvl w:val="0"/>
          <w:numId w:val="0"/>
        </w:numPr>
      </w:pPr>
    </w:p>
    <w:p w14:paraId="14FEF6DF" w14:textId="77777777" w:rsidR="00C823F4" w:rsidRPr="00173DDC" w:rsidRDefault="00C823F4" w:rsidP="00C823F4">
      <w:pPr>
        <w:pStyle w:val="Opstilling-punkttegn"/>
        <w:numPr>
          <w:ilvl w:val="0"/>
          <w:numId w:val="0"/>
        </w:numPr>
      </w:pPr>
    </w:p>
    <w:p w14:paraId="14519644" w14:textId="77777777" w:rsidR="00C823F4" w:rsidRPr="00173DDC" w:rsidRDefault="00C823F4" w:rsidP="00C823F4">
      <w:pPr>
        <w:pStyle w:val="Opstilling-punkttegn"/>
        <w:numPr>
          <w:ilvl w:val="0"/>
          <w:numId w:val="0"/>
        </w:numPr>
      </w:pPr>
      <w:r w:rsidRPr="00173DDC">
        <w:rPr>
          <w:b/>
        </w:rPr>
        <w:t>Bred formidling af projektresultater</w:t>
      </w:r>
    </w:p>
    <w:p w14:paraId="18FE6C99" w14:textId="26EA2AB4" w:rsidR="00C823F4" w:rsidRPr="00173DDC" w:rsidRDefault="00C823F4" w:rsidP="00C823F4">
      <w:pPr>
        <w:pStyle w:val="Opstilling-punkttegn"/>
        <w:numPr>
          <w:ilvl w:val="0"/>
          <w:numId w:val="0"/>
        </w:numPr>
      </w:pPr>
      <w:r w:rsidRPr="00173DDC">
        <w:t>Projektet og projektets resultater ønskes formidlet og gjort offentligt tilgængelige</w:t>
      </w:r>
      <w:r w:rsidR="002D2304">
        <w:t xml:space="preserve"> gennem fx</w:t>
      </w:r>
      <w:r w:rsidRPr="00173DDC">
        <w:t>:</w:t>
      </w:r>
    </w:p>
    <w:p w14:paraId="7398DE67" w14:textId="2B4F7108" w:rsidR="00C823F4" w:rsidRPr="00173DDC" w:rsidRDefault="00C823F4" w:rsidP="00765C05">
      <w:pPr>
        <w:pStyle w:val="Opstilling-punkttegn"/>
        <w:numPr>
          <w:ilvl w:val="0"/>
          <w:numId w:val="6"/>
        </w:numPr>
      </w:pPr>
      <w:r w:rsidRPr="00173DDC">
        <w:t>publikation i fagtidsskrifter, videnskabelige tidsskrifter mv.</w:t>
      </w:r>
    </w:p>
    <w:p w14:paraId="4A9917CB" w14:textId="21AFF7CE" w:rsidR="00C823F4" w:rsidRPr="00173DDC" w:rsidRDefault="00C823F4" w:rsidP="00765C05">
      <w:pPr>
        <w:pStyle w:val="Opstilling-punkttegn"/>
        <w:numPr>
          <w:ilvl w:val="0"/>
          <w:numId w:val="6"/>
        </w:numPr>
      </w:pPr>
      <w:r w:rsidRPr="00173DDC">
        <w:t>anvendelse på konferencer, kurser, i undervisning mv.</w:t>
      </w:r>
    </w:p>
    <w:p w14:paraId="6E32A2AE" w14:textId="1A02665F" w:rsidR="00C823F4" w:rsidRDefault="00C823F4" w:rsidP="00765C05">
      <w:pPr>
        <w:pStyle w:val="Opstilling-punkttegn"/>
        <w:numPr>
          <w:ilvl w:val="0"/>
          <w:numId w:val="6"/>
        </w:numPr>
      </w:pPr>
      <w:r w:rsidRPr="00173DDC">
        <w:t>offentliggørelse i medlemsblade, på hjemmesider mv.</w:t>
      </w:r>
    </w:p>
    <w:p w14:paraId="2797E88B" w14:textId="34E9BFAA" w:rsidR="00C823F4" w:rsidRPr="00173DDC" w:rsidRDefault="002D2304" w:rsidP="00765C05">
      <w:pPr>
        <w:pStyle w:val="Opstilling-punkttegn"/>
        <w:numPr>
          <w:ilvl w:val="0"/>
          <w:numId w:val="0"/>
        </w:numPr>
      </w:pPr>
      <w:r>
        <w:lastRenderedPageBreak/>
        <w:t>Der lægges vægt på</w:t>
      </w:r>
      <w:r w:rsidR="009953E9">
        <w:t>,</w:t>
      </w:r>
      <w:r>
        <w:t xml:space="preserve"> at f</w:t>
      </w:r>
      <w:r w:rsidR="00C823F4" w:rsidRPr="00173DDC">
        <w:t>ormidling</w:t>
      </w:r>
      <w:r>
        <w:t>sindsatsen er</w:t>
      </w:r>
      <w:r w:rsidR="00C823F4" w:rsidRPr="00173DDC">
        <w:t xml:space="preserve"> </w:t>
      </w:r>
      <w:r w:rsidR="00765C05">
        <w:t xml:space="preserve">rettet mod de for projektet relevante målgrupper og er </w:t>
      </w:r>
      <w:r w:rsidR="00C823F4" w:rsidRPr="00173DDC">
        <w:t>tænkt ind i projektet fra start</w:t>
      </w:r>
      <w:r w:rsidR="00765C05">
        <w:t xml:space="preserve">. </w:t>
      </w:r>
    </w:p>
    <w:p w14:paraId="09C0F5BD" w14:textId="77777777" w:rsidR="00C823F4" w:rsidRPr="00173DDC" w:rsidRDefault="00C823F4" w:rsidP="00C823F4">
      <w:pPr>
        <w:pStyle w:val="Opstilling-punkttegn"/>
        <w:numPr>
          <w:ilvl w:val="0"/>
          <w:numId w:val="0"/>
        </w:numPr>
        <w:ind w:left="454" w:hanging="454"/>
      </w:pPr>
    </w:p>
    <w:p w14:paraId="4AA013F3" w14:textId="752EBF9F" w:rsidR="00C823F4" w:rsidRDefault="00C823F4" w:rsidP="00C823F4">
      <w:pPr>
        <w:pStyle w:val="Opstilling-punkttegn"/>
        <w:numPr>
          <w:ilvl w:val="0"/>
          <w:numId w:val="0"/>
        </w:numPr>
      </w:pPr>
      <w:r w:rsidRPr="00173DDC">
        <w:t>Miljøstyrelsen forbeholder sig ret til at anvende og offentliggøre rapporter, publikationer og anden resultatrapportering</w:t>
      </w:r>
      <w:r w:rsidR="00E97632">
        <w:t>.</w:t>
      </w:r>
      <w:r w:rsidRPr="00173DDC">
        <w:t xml:space="preserve"> </w:t>
      </w:r>
      <w:r w:rsidR="00E97632">
        <w:t>D</w:t>
      </w:r>
      <w:r w:rsidR="00DE3B8F">
        <w:t>er kan aftales nærmere angående publikationstidspunkt</w:t>
      </w:r>
      <w:r w:rsidRPr="00173DDC">
        <w:t>.</w:t>
      </w:r>
    </w:p>
    <w:p w14:paraId="77DC6148" w14:textId="5C8CF1B4" w:rsidR="0087061A" w:rsidRDefault="0087061A" w:rsidP="00C823F4">
      <w:pPr>
        <w:pStyle w:val="Opstilling-punkttegn"/>
        <w:numPr>
          <w:ilvl w:val="0"/>
          <w:numId w:val="0"/>
        </w:numPr>
      </w:pPr>
    </w:p>
    <w:p w14:paraId="26216B9F" w14:textId="288FB502" w:rsidR="0087061A" w:rsidRPr="00635A7B" w:rsidRDefault="000A2377" w:rsidP="00C823F4">
      <w:pPr>
        <w:pStyle w:val="Opstilling-punkttegn"/>
        <w:numPr>
          <w:ilvl w:val="0"/>
          <w:numId w:val="0"/>
        </w:numPr>
        <w:rPr>
          <w:b/>
          <w:sz w:val="22"/>
          <w:szCs w:val="22"/>
        </w:rPr>
      </w:pPr>
      <w:r w:rsidRPr="00635A7B">
        <w:rPr>
          <w:b/>
          <w:sz w:val="22"/>
          <w:szCs w:val="22"/>
        </w:rPr>
        <w:t>Hvem kan søge om tilskud?</w:t>
      </w:r>
    </w:p>
    <w:p w14:paraId="52736933" w14:textId="658FAC06" w:rsidR="008C7E2D" w:rsidRDefault="00FD4AA0" w:rsidP="00FD4AA0">
      <w:pPr>
        <w:pStyle w:val="Opstilling-punkttegn"/>
        <w:numPr>
          <w:ilvl w:val="0"/>
          <w:numId w:val="0"/>
        </w:numPr>
      </w:pPr>
      <w:r>
        <w:t>Forsknings- og videnformidlingsorganisation</w:t>
      </w:r>
      <w:r w:rsidR="002D2304">
        <w:t>er</w:t>
      </w:r>
      <w:r>
        <w:t xml:space="preserve"> kan søge om tilskud. EU definerer sådanne organisationer som ’en enhed, (f.eks. en højere læreanstalt eller et forskningsinstitut, et teknologioverførselsagentur, en innovationsformidler, en forskningsorienteret fysisk eller virtuel samarbejdsenhed), uanset dens retlige status (offentligretlig eller privatretlig status) eller finansieringsform, hvis primære mål er uafhængigt af andre interesser at bedrive grundforskning, industriel forskning eller eksperimentel udviklingsaktivitet eller formidle resultaterne heraf til en bredere kreds gennem undervisning, udgivelsesaktivitet eller vidensoverførsel. Hvis enheden tillige udøver økonomiske aktiviteter, skal der føres særskilte regnskaber for omkostninger og indtægter herved. Virksomheder, som kan øve afgørende indflydelse på en sådan enhed i deres egenskab af f.eks. aktionærer eller medlemmer, må ikke have privilegeret adgang til de resultater, enheden opnår'.</w:t>
      </w:r>
    </w:p>
    <w:p w14:paraId="44EA38BE" w14:textId="688FA88A" w:rsidR="008C7E2D" w:rsidRDefault="008C7E2D" w:rsidP="00C823F4">
      <w:pPr>
        <w:pStyle w:val="Opstilling-punkttegn"/>
        <w:numPr>
          <w:ilvl w:val="0"/>
          <w:numId w:val="0"/>
        </w:numPr>
      </w:pPr>
    </w:p>
    <w:p w14:paraId="6A4195F7" w14:textId="77777777" w:rsidR="008C7E2D" w:rsidRDefault="008C7E2D" w:rsidP="00C823F4">
      <w:pPr>
        <w:pStyle w:val="Opstilling-punkttegn"/>
        <w:numPr>
          <w:ilvl w:val="0"/>
          <w:numId w:val="0"/>
        </w:numPr>
      </w:pPr>
    </w:p>
    <w:p w14:paraId="2C9AB6F5" w14:textId="77777777" w:rsidR="0087061A" w:rsidRPr="0087061A" w:rsidRDefault="0087061A" w:rsidP="0087061A">
      <w:pPr>
        <w:keepNext/>
        <w:contextualSpacing/>
        <w:outlineLvl w:val="0"/>
        <w:rPr>
          <w:rFonts w:cs="Arial"/>
          <w:b/>
          <w:bCs/>
          <w:sz w:val="22"/>
          <w:szCs w:val="32"/>
        </w:rPr>
      </w:pPr>
      <w:r w:rsidRPr="0087061A">
        <w:rPr>
          <w:rFonts w:cs="Arial"/>
          <w:b/>
          <w:bCs/>
          <w:sz w:val="22"/>
          <w:szCs w:val="32"/>
        </w:rPr>
        <w:t>Hvilket tilskud til jagt og vildtprojekter kan gives i forhold til EU’s statsstøtteregler</w:t>
      </w:r>
    </w:p>
    <w:p w14:paraId="36B19502" w14:textId="495CE751" w:rsidR="009953E9" w:rsidRDefault="008C79B2" w:rsidP="0087061A">
      <w:r>
        <w:t>EU’s statsstøtteregler fremgår af K</w:t>
      </w:r>
      <w:r w:rsidR="00447813">
        <w:t xml:space="preserve">ommissionens </w:t>
      </w:r>
      <w:r>
        <w:t>F</w:t>
      </w:r>
      <w:r w:rsidR="00447813">
        <w:t>orordning</w:t>
      </w:r>
      <w:r>
        <w:t xml:space="preserve"> </w:t>
      </w:r>
      <w:r w:rsidR="00F62F29">
        <w:t>nr. 651/2014 af 1</w:t>
      </w:r>
      <w:r w:rsidR="00EF5577">
        <w:t>7</w:t>
      </w:r>
      <w:r w:rsidR="00F62F29">
        <w:t>. juni 2014 med senere ændringer</w:t>
      </w:r>
      <w:r w:rsidR="00D314F9">
        <w:t>.</w:t>
      </w:r>
    </w:p>
    <w:p w14:paraId="0C22DD41" w14:textId="77777777" w:rsidR="00691C3F" w:rsidRDefault="00691C3F" w:rsidP="0087061A"/>
    <w:p w14:paraId="46699105" w14:textId="37B78F68" w:rsidR="0087061A" w:rsidRDefault="00D314F9" w:rsidP="0087061A">
      <w:r>
        <w:t xml:space="preserve">Tilskud til jagt og vildtprojekter gives </w:t>
      </w:r>
      <w:r w:rsidR="008C79B2">
        <w:t xml:space="preserve">i </w:t>
      </w:r>
      <w:r>
        <w:t xml:space="preserve">nærværende </w:t>
      </w:r>
      <w:r w:rsidR="008C79B2">
        <w:t xml:space="preserve">sammenhæng </w:t>
      </w:r>
      <w:r>
        <w:t xml:space="preserve">i henhold til </w:t>
      </w:r>
      <w:r w:rsidR="008C79B2">
        <w:t>forordningens artikel 25</w:t>
      </w:r>
      <w:r>
        <w:t xml:space="preserve"> ’Støtte til forsknings- og udviklingsprojekter’</w:t>
      </w:r>
      <w:r w:rsidR="008C79B2">
        <w:t xml:space="preserve">. </w:t>
      </w:r>
      <w:r w:rsidR="0087061A" w:rsidRPr="0087061A">
        <w:rPr>
          <w:b/>
        </w:rPr>
        <w:t>Bemærk</w:t>
      </w:r>
      <w:r w:rsidR="0087061A" w:rsidRPr="0087061A">
        <w:t xml:space="preserve"> at det i sidste ende er støttemodtagers ansvar, at projektet er foreneligt med </w:t>
      </w:r>
      <w:r>
        <w:t xml:space="preserve">disse </w:t>
      </w:r>
      <w:r w:rsidR="0087061A" w:rsidRPr="0087061A">
        <w:t>statsstøtteregler.</w:t>
      </w:r>
    </w:p>
    <w:p w14:paraId="31D45FF6" w14:textId="77777777" w:rsidR="008C79B2" w:rsidRPr="0087061A" w:rsidRDefault="008C79B2" w:rsidP="0087061A"/>
    <w:p w14:paraId="0629DDDF" w14:textId="72785A5A" w:rsidR="0087061A" w:rsidRPr="0087061A" w:rsidRDefault="0087061A" w:rsidP="0087061A">
      <w:pPr>
        <w:autoSpaceDE w:val="0"/>
        <w:autoSpaceDN w:val="0"/>
        <w:adjustRightInd w:val="0"/>
        <w:spacing w:line="240" w:lineRule="auto"/>
        <w:rPr>
          <w:rFonts w:cs="EUAlbertina-BoldItal"/>
          <w:b/>
          <w:bCs/>
          <w:iCs/>
          <w:sz w:val="22"/>
          <w:szCs w:val="22"/>
        </w:rPr>
      </w:pPr>
      <w:r w:rsidRPr="0087061A">
        <w:rPr>
          <w:rFonts w:cs="EUAlbertina-BoldItal"/>
          <w:b/>
          <w:bCs/>
          <w:iCs/>
          <w:sz w:val="22"/>
          <w:szCs w:val="22"/>
        </w:rPr>
        <w:t>Støtte til forskning</w:t>
      </w:r>
      <w:r w:rsidR="00AE6F77">
        <w:rPr>
          <w:rFonts w:cs="EUAlbertina-BoldItal"/>
          <w:b/>
          <w:bCs/>
          <w:iCs/>
          <w:sz w:val="22"/>
          <w:szCs w:val="22"/>
        </w:rPr>
        <w:t xml:space="preserve"> og </w:t>
      </w:r>
      <w:r w:rsidRPr="0087061A">
        <w:rPr>
          <w:rFonts w:cs="EUAlbertina-BoldItal"/>
          <w:b/>
          <w:bCs/>
          <w:iCs/>
          <w:sz w:val="22"/>
          <w:szCs w:val="22"/>
        </w:rPr>
        <w:t>udvikling</w:t>
      </w:r>
    </w:p>
    <w:p w14:paraId="0F3155BC" w14:textId="77777777" w:rsidR="0087061A" w:rsidRPr="0087061A" w:rsidRDefault="0087061A" w:rsidP="0087061A">
      <w:pPr>
        <w:autoSpaceDE w:val="0"/>
        <w:autoSpaceDN w:val="0"/>
        <w:adjustRightInd w:val="0"/>
        <w:spacing w:line="240" w:lineRule="auto"/>
        <w:rPr>
          <w:rFonts w:cs="EUAlbertina-Regu"/>
        </w:rPr>
      </w:pPr>
      <w:r w:rsidRPr="0087061A">
        <w:rPr>
          <w:rFonts w:cs="EUAlbertina-Regu"/>
        </w:rPr>
        <w:t>Tilskud til forsknings- og udviklingsprojekter på jagt og vildtområdet, forudsætter at projektet som helhed falder ind under en eller flere af følgende kategorier:</w:t>
      </w:r>
    </w:p>
    <w:p w14:paraId="72B2B6BB" w14:textId="77777777" w:rsidR="0087061A" w:rsidRPr="0087061A" w:rsidRDefault="0087061A" w:rsidP="0087061A">
      <w:pPr>
        <w:autoSpaceDE w:val="0"/>
        <w:autoSpaceDN w:val="0"/>
        <w:adjustRightInd w:val="0"/>
        <w:spacing w:line="240" w:lineRule="auto"/>
        <w:rPr>
          <w:rFonts w:cs="EUAlbertina-Regu"/>
        </w:rPr>
      </w:pPr>
    </w:p>
    <w:p w14:paraId="4D190EEE" w14:textId="77777777" w:rsidR="0087061A" w:rsidRPr="0087061A" w:rsidRDefault="0087061A" w:rsidP="0087061A">
      <w:pPr>
        <w:autoSpaceDE w:val="0"/>
        <w:autoSpaceDN w:val="0"/>
        <w:adjustRightInd w:val="0"/>
        <w:spacing w:line="240" w:lineRule="auto"/>
        <w:rPr>
          <w:rFonts w:cs="EUAlbertina-Regu"/>
        </w:rPr>
      </w:pPr>
      <w:r w:rsidRPr="0087061A">
        <w:rPr>
          <w:rFonts w:cs="EUAlbertina-Regu"/>
        </w:rPr>
        <w:t>1) grundforskning</w:t>
      </w:r>
    </w:p>
    <w:p w14:paraId="555EA8FC" w14:textId="77777777" w:rsidR="0087061A" w:rsidRPr="0087061A" w:rsidRDefault="0087061A" w:rsidP="0087061A">
      <w:pPr>
        <w:autoSpaceDE w:val="0"/>
        <w:autoSpaceDN w:val="0"/>
        <w:adjustRightInd w:val="0"/>
        <w:spacing w:line="240" w:lineRule="auto"/>
        <w:rPr>
          <w:rFonts w:cs="EUAlbertina-Regu"/>
        </w:rPr>
      </w:pPr>
      <w:r w:rsidRPr="0087061A">
        <w:rPr>
          <w:rFonts w:cs="EUAlbertina-Regu"/>
        </w:rPr>
        <w:t>2) industriel forskning</w:t>
      </w:r>
    </w:p>
    <w:p w14:paraId="2B85B44C" w14:textId="77777777" w:rsidR="0087061A" w:rsidRPr="0087061A" w:rsidRDefault="0087061A" w:rsidP="0087061A">
      <w:pPr>
        <w:autoSpaceDE w:val="0"/>
        <w:autoSpaceDN w:val="0"/>
        <w:adjustRightInd w:val="0"/>
        <w:spacing w:line="240" w:lineRule="auto"/>
        <w:rPr>
          <w:rFonts w:cs="EUAlbertina-Regu"/>
        </w:rPr>
      </w:pPr>
      <w:r w:rsidRPr="0087061A">
        <w:rPr>
          <w:rFonts w:cs="EUAlbertina-Regu"/>
        </w:rPr>
        <w:t>3) eksperimentel udvikling</w:t>
      </w:r>
    </w:p>
    <w:p w14:paraId="43629EE7" w14:textId="11788607" w:rsidR="0087061A" w:rsidRPr="0087061A" w:rsidRDefault="0087061A" w:rsidP="0087061A">
      <w:pPr>
        <w:autoSpaceDE w:val="0"/>
        <w:autoSpaceDN w:val="0"/>
        <w:adjustRightInd w:val="0"/>
        <w:spacing w:line="240" w:lineRule="auto"/>
        <w:rPr>
          <w:rFonts w:cs="EUAlbertina-Regu"/>
        </w:rPr>
      </w:pPr>
      <w:r w:rsidRPr="0087061A">
        <w:rPr>
          <w:rFonts w:cs="EUAlbertina-Regu"/>
        </w:rPr>
        <w:t>4</w:t>
      </w:r>
      <w:r w:rsidR="003A5A09">
        <w:rPr>
          <w:rFonts w:cs="EUAlbertina-Regu"/>
        </w:rPr>
        <w:t>) gennemførlighedsundersøgelser</w:t>
      </w:r>
    </w:p>
    <w:p w14:paraId="3976CED9" w14:textId="77777777" w:rsidR="0087061A" w:rsidRPr="0087061A" w:rsidRDefault="0087061A" w:rsidP="0087061A">
      <w:pPr>
        <w:autoSpaceDE w:val="0"/>
        <w:autoSpaceDN w:val="0"/>
        <w:adjustRightInd w:val="0"/>
        <w:spacing w:line="240" w:lineRule="auto"/>
        <w:rPr>
          <w:rFonts w:cs="EUAlbertina-Regu"/>
        </w:rPr>
      </w:pPr>
    </w:p>
    <w:p w14:paraId="735E7999" w14:textId="77777777" w:rsidR="008C79B2" w:rsidRPr="008C79B2" w:rsidRDefault="008C79B2" w:rsidP="0087061A">
      <w:pPr>
        <w:autoSpaceDE w:val="0"/>
        <w:autoSpaceDN w:val="0"/>
        <w:adjustRightInd w:val="0"/>
        <w:spacing w:line="240" w:lineRule="auto"/>
        <w:rPr>
          <w:rFonts w:cs="EUAlbertina-Regu"/>
          <w:b/>
        </w:rPr>
      </w:pPr>
      <w:r w:rsidRPr="008C79B2">
        <w:rPr>
          <w:rFonts w:cs="EUAlbertina-Regu"/>
          <w:b/>
        </w:rPr>
        <w:t>Projektkategori 1 – 3:</w:t>
      </w:r>
    </w:p>
    <w:p w14:paraId="1DEA26E3" w14:textId="233996E4" w:rsidR="0087061A" w:rsidRPr="0087061A" w:rsidRDefault="0087061A" w:rsidP="0087061A">
      <w:pPr>
        <w:autoSpaceDE w:val="0"/>
        <w:autoSpaceDN w:val="0"/>
        <w:adjustRightInd w:val="0"/>
        <w:spacing w:line="240" w:lineRule="auto"/>
        <w:rPr>
          <w:rFonts w:cs="EUAlbertina-Regu"/>
        </w:rPr>
      </w:pPr>
      <w:r w:rsidRPr="0087061A">
        <w:rPr>
          <w:rFonts w:cs="EUAlbertina-Regu"/>
        </w:rPr>
        <w:t>Her skal projektets budget og faktiske omkostninger kunne henføres til følgende omkostningskategorier:</w:t>
      </w:r>
    </w:p>
    <w:p w14:paraId="3AE293F4" w14:textId="77777777" w:rsidR="0087061A" w:rsidRPr="0087061A" w:rsidRDefault="0087061A" w:rsidP="000E6273">
      <w:pPr>
        <w:pStyle w:val="Listeafsnit"/>
        <w:numPr>
          <w:ilvl w:val="0"/>
          <w:numId w:val="4"/>
        </w:numPr>
      </w:pPr>
      <w:r w:rsidRPr="0087061A">
        <w:t>Personaleomkostninger: Lønomkostninger til forskere, teknikere og andet hjælpepersonale i det omfang, de arbejder i projektet</w:t>
      </w:r>
    </w:p>
    <w:p w14:paraId="2152C80A" w14:textId="77777777" w:rsidR="0087061A" w:rsidRPr="0087061A" w:rsidRDefault="0087061A" w:rsidP="000E6273">
      <w:pPr>
        <w:pStyle w:val="Listeafsnit"/>
        <w:numPr>
          <w:ilvl w:val="0"/>
          <w:numId w:val="4"/>
        </w:numPr>
      </w:pPr>
      <w:r w:rsidRPr="0087061A">
        <w:t>Udgifter til instrumenter og udstyr og materialer, i det omfang og i den periode de eller det anvendes til projektet. Hvis sådanne instrumenter og sådant udstyr ikke anvendes til projektet i hele deres livscyklus, anses kun afskrivningsomkostningerne under projektets varighed beregnet på grundlag af alment anerkendt regnskabspraksis for støtteberettigede.</w:t>
      </w:r>
    </w:p>
    <w:p w14:paraId="7FD0FDA6" w14:textId="77777777" w:rsidR="0087061A" w:rsidRPr="0087061A" w:rsidRDefault="0087061A" w:rsidP="000E6273">
      <w:pPr>
        <w:pStyle w:val="Listeafsnit"/>
        <w:numPr>
          <w:ilvl w:val="0"/>
          <w:numId w:val="4"/>
        </w:numPr>
      </w:pPr>
      <w:r w:rsidRPr="0087061A">
        <w:t>Udgifter til bygninger og jord, i det omfang og i den periode der gøres brug deraf til projektet. Hvad angår bygninger, anses kun afskrivningsomkostningerne under projektets varighed beregnet på grundlag af alment anerkendt regnskabspraksis for støtteberettigede. For så vidt angår jord, er omkostningerne ved kommerciel erhvervelse eller de faktiske påløbne kapitalomkostninger støtteberettigede.</w:t>
      </w:r>
    </w:p>
    <w:p w14:paraId="0F9FB73A" w14:textId="77777777" w:rsidR="0087061A" w:rsidRPr="0087061A" w:rsidRDefault="0087061A" w:rsidP="000E6273">
      <w:pPr>
        <w:pStyle w:val="Listeafsnit"/>
        <w:numPr>
          <w:ilvl w:val="0"/>
          <w:numId w:val="4"/>
        </w:numPr>
      </w:pPr>
      <w:r w:rsidRPr="0087061A">
        <w:t>Omkostninger ved kontraktforskning og køb eller licensering af viden og patenter fra eksterne kilder på armslængdebetingelser samt omkostninger ved konsulentbistand og tilsvarende tjenester, som udelukkende anvendes til projektet</w:t>
      </w:r>
    </w:p>
    <w:p w14:paraId="7D44F187" w14:textId="77777777" w:rsidR="0087061A" w:rsidRPr="0087061A" w:rsidRDefault="0087061A" w:rsidP="000E6273">
      <w:pPr>
        <w:pStyle w:val="Listeafsnit"/>
        <w:numPr>
          <w:ilvl w:val="0"/>
          <w:numId w:val="4"/>
        </w:numPr>
      </w:pPr>
      <w:r w:rsidRPr="0087061A">
        <w:lastRenderedPageBreak/>
        <w:t>Andre driftsudgifter, herunder udgifter til materialer, transport, forsyninger og lignende produkter, der afholdes i direkte tilknytning til projektet</w:t>
      </w:r>
    </w:p>
    <w:p w14:paraId="58F2B07E" w14:textId="77777777" w:rsidR="0087061A" w:rsidRPr="0087061A" w:rsidRDefault="0087061A" w:rsidP="0087061A"/>
    <w:p w14:paraId="14FD5847" w14:textId="77777777" w:rsidR="008C79B2" w:rsidRDefault="0087061A" w:rsidP="0087061A">
      <w:pPr>
        <w:rPr>
          <w:b/>
        </w:rPr>
      </w:pPr>
      <w:r w:rsidRPr="008C79B2">
        <w:rPr>
          <w:b/>
        </w:rPr>
        <w:t>Projektkategori 4 (gennemførlighedsundersøgelser):</w:t>
      </w:r>
    </w:p>
    <w:p w14:paraId="7169B3B4" w14:textId="66CE5770" w:rsidR="0087061A" w:rsidRPr="0087061A" w:rsidRDefault="0087061A" w:rsidP="0087061A">
      <w:r w:rsidRPr="0087061A">
        <w:t>Her er de støtteberettigede omkostninger alle omkostningerne ved undersøgelsen.</w:t>
      </w:r>
    </w:p>
    <w:p w14:paraId="7F1FE9BC" w14:textId="77777777" w:rsidR="0087061A" w:rsidRPr="0087061A" w:rsidRDefault="0087061A" w:rsidP="0087061A"/>
    <w:p w14:paraId="0656E07D" w14:textId="77777777" w:rsidR="0087061A" w:rsidRPr="0087061A" w:rsidRDefault="0087061A" w:rsidP="0087061A"/>
    <w:p w14:paraId="4DEED362" w14:textId="77777777" w:rsidR="0087061A" w:rsidRPr="0087061A" w:rsidRDefault="0087061A" w:rsidP="0087061A">
      <w:r w:rsidRPr="0087061A">
        <w:rPr>
          <w:b/>
        </w:rPr>
        <w:t>Hvor stort tilskud kan der søges om?</w:t>
      </w:r>
    </w:p>
    <w:p w14:paraId="5E302460" w14:textId="5C7DE26B" w:rsidR="0087061A" w:rsidRPr="0087061A" w:rsidRDefault="0087061A" w:rsidP="0087061A">
      <w:r w:rsidRPr="0087061A">
        <w:t xml:space="preserve">Med ’støtteberettigede omkostninger’ forstås </w:t>
      </w:r>
      <w:r w:rsidR="001F5B2C">
        <w:t xml:space="preserve">i denne sammenhæng, </w:t>
      </w:r>
      <w:r w:rsidRPr="0087061A">
        <w:t>projektets samlede udgifter fratrukket egenfinansiering (f.eks. i form af ressourceforbrug) samt anden medfinansiering (f.eks. i form af fondsstøtte)</w:t>
      </w:r>
    </w:p>
    <w:p w14:paraId="77F0658A" w14:textId="77777777" w:rsidR="0087061A" w:rsidRPr="0087061A" w:rsidRDefault="0087061A" w:rsidP="0087061A"/>
    <w:p w14:paraId="5C746A33" w14:textId="77777777" w:rsidR="0087061A" w:rsidRPr="0087061A" w:rsidRDefault="0087061A" w:rsidP="0087061A">
      <w:r w:rsidRPr="0087061A">
        <w:t>Tilskuddets størrelse afhænger af projektkategorien. For det enkelte projekt må tilskudsandelen højst udgøre:</w:t>
      </w:r>
    </w:p>
    <w:p w14:paraId="791B0529" w14:textId="77777777" w:rsidR="0087061A" w:rsidRPr="0087061A" w:rsidRDefault="0087061A" w:rsidP="0087061A">
      <w:r w:rsidRPr="0087061A">
        <w:t xml:space="preserve">a) 100 % af de støtteberettigede omkostninger for </w:t>
      </w:r>
      <w:r w:rsidRPr="0087061A">
        <w:rPr>
          <w:i/>
        </w:rPr>
        <w:t>grundforskning</w:t>
      </w:r>
    </w:p>
    <w:p w14:paraId="1CA1DF8C" w14:textId="77777777" w:rsidR="0087061A" w:rsidRPr="0087061A" w:rsidRDefault="0087061A" w:rsidP="0087061A">
      <w:r w:rsidRPr="0087061A">
        <w:t xml:space="preserve">b) 50 % af de støtteberettigede omkostninger for </w:t>
      </w:r>
      <w:r w:rsidRPr="0087061A">
        <w:rPr>
          <w:i/>
        </w:rPr>
        <w:t>industriel forskning</w:t>
      </w:r>
    </w:p>
    <w:p w14:paraId="0909B5D6" w14:textId="77777777" w:rsidR="0087061A" w:rsidRPr="0087061A" w:rsidRDefault="0087061A" w:rsidP="0087061A">
      <w:r w:rsidRPr="0087061A">
        <w:t xml:space="preserve">c) 25 % af de støtteberettigede omkostninger for </w:t>
      </w:r>
      <w:r w:rsidRPr="0087061A">
        <w:rPr>
          <w:i/>
        </w:rPr>
        <w:t>eksperimentel udvikling</w:t>
      </w:r>
    </w:p>
    <w:p w14:paraId="54917A27" w14:textId="77777777" w:rsidR="0087061A" w:rsidRPr="0087061A" w:rsidRDefault="0087061A" w:rsidP="0087061A">
      <w:r w:rsidRPr="0087061A">
        <w:t xml:space="preserve">d) 50 % af de støtteberettigede omkostninger for </w:t>
      </w:r>
      <w:r w:rsidRPr="0087061A">
        <w:rPr>
          <w:i/>
        </w:rPr>
        <w:t>gennemførlighedsundersøgelser</w:t>
      </w:r>
    </w:p>
    <w:p w14:paraId="6C0818D6" w14:textId="77777777" w:rsidR="0087061A" w:rsidRPr="0087061A" w:rsidRDefault="0087061A" w:rsidP="0087061A"/>
    <w:p w14:paraId="0DADAE73" w14:textId="77777777" w:rsidR="0087061A" w:rsidRPr="0087061A" w:rsidRDefault="0087061A" w:rsidP="0087061A">
      <w:r w:rsidRPr="0087061A">
        <w:t>Der er derudover følgende muligheder for forhøjelse af tilskudsandelene:</w:t>
      </w:r>
    </w:p>
    <w:p w14:paraId="5B0A2A0C" w14:textId="77777777" w:rsidR="0087061A" w:rsidRPr="0087061A" w:rsidRDefault="0087061A" w:rsidP="0087061A"/>
    <w:p w14:paraId="2FFBF802" w14:textId="77777777" w:rsidR="0087061A" w:rsidRPr="0087061A" w:rsidRDefault="0087061A" w:rsidP="0087061A">
      <w:r w:rsidRPr="0087061A">
        <w:rPr>
          <w:b/>
        </w:rPr>
        <w:t>Industriel forskning og eksperimentel udvikling</w:t>
      </w:r>
      <w:r w:rsidRPr="0087061A">
        <w:t>: Her kan tilskudsandelen forhøjes afhængig af virksomhedens størrelse. Der skelnes mellem:</w:t>
      </w:r>
    </w:p>
    <w:p w14:paraId="706642E9" w14:textId="77777777" w:rsidR="0087061A" w:rsidRPr="0087061A" w:rsidRDefault="0087061A" w:rsidP="0087061A">
      <w:r w:rsidRPr="0087061A">
        <w:rPr>
          <w:u w:val="single"/>
        </w:rPr>
        <w:t>Lille virksomhed</w:t>
      </w:r>
      <w:r w:rsidRPr="0087061A">
        <w:t>: Beskæftiger under 50 personer, og har en årlig omsætning eller en samlet årlig balance på op til 10 mio. EUR</w:t>
      </w:r>
    </w:p>
    <w:p w14:paraId="1E21CAD9" w14:textId="77777777" w:rsidR="0087061A" w:rsidRPr="0087061A" w:rsidRDefault="0087061A" w:rsidP="0087061A">
      <w:r w:rsidRPr="0087061A">
        <w:rPr>
          <w:u w:val="single"/>
        </w:rPr>
        <w:t>Mellemstor virksomhed</w:t>
      </w:r>
      <w:r w:rsidRPr="0087061A">
        <w:t>: Beskæftiger under 250 personer, og har en årlig omsætning på op til 50 mio. EUR, eller årlig samlet balance på op til 43 mio. EUR</w:t>
      </w:r>
    </w:p>
    <w:p w14:paraId="116FB762" w14:textId="77777777" w:rsidR="0087061A" w:rsidRPr="0087061A" w:rsidRDefault="0087061A" w:rsidP="0087061A">
      <w:r w:rsidRPr="0087061A">
        <w:rPr>
          <w:u w:val="single"/>
        </w:rPr>
        <w:t>Stor virksomhed</w:t>
      </w:r>
      <w:r w:rsidRPr="0087061A">
        <w:t>: Beskæftiger mindst 250 personer, og har en årlig omsætning på over 50 mio. EUR eller en årlig samlet balance på over 43 mio. EUR.</w:t>
      </w:r>
    </w:p>
    <w:p w14:paraId="05DAE832" w14:textId="77777777" w:rsidR="0087061A" w:rsidRPr="0087061A" w:rsidRDefault="0087061A" w:rsidP="0087061A"/>
    <w:p w14:paraId="3A0A857B" w14:textId="77777777" w:rsidR="0087061A" w:rsidRPr="0087061A" w:rsidRDefault="0087061A" w:rsidP="0087061A">
      <w:r w:rsidRPr="0087061A">
        <w:t>Op til en maksimal tilskudsandel på 80 % af de støtteberettigede omkostninger kan tilskudsandelen forøges med:</w:t>
      </w:r>
    </w:p>
    <w:p w14:paraId="40AF85D1" w14:textId="77777777" w:rsidR="0087061A" w:rsidRPr="0087061A" w:rsidRDefault="0087061A" w:rsidP="0087061A">
      <w:pPr>
        <w:ind w:left="454" w:hanging="454"/>
        <w:contextualSpacing/>
      </w:pPr>
      <w:r w:rsidRPr="0087061A">
        <w:t>10 procentpoint for mellemstore virksomheder og med 20 procentpoints for små virksomheder</w:t>
      </w:r>
    </w:p>
    <w:p w14:paraId="28AD7D5E" w14:textId="77777777" w:rsidR="0087061A" w:rsidRPr="0087061A" w:rsidRDefault="0087061A" w:rsidP="0087061A">
      <w:pPr>
        <w:ind w:left="454" w:hanging="454"/>
        <w:contextualSpacing/>
      </w:pPr>
      <w:r w:rsidRPr="0087061A">
        <w:t>15 procentpoint for alle virksomhedsstørrelser, hvis en af følgende betingelser er opfyldt:</w:t>
      </w:r>
    </w:p>
    <w:p w14:paraId="22AF3BD8" w14:textId="77777777" w:rsidR="0087061A" w:rsidRPr="0087061A" w:rsidRDefault="0087061A" w:rsidP="0087061A">
      <w:pPr>
        <w:numPr>
          <w:ilvl w:val="1"/>
          <w:numId w:val="1"/>
        </w:numPr>
        <w:contextualSpacing/>
      </w:pPr>
      <w:r w:rsidRPr="0087061A">
        <w:t xml:space="preserve">projektet vedrører et reelt samarbejde: </w:t>
      </w:r>
    </w:p>
    <w:p w14:paraId="379785E4" w14:textId="77777777" w:rsidR="0087061A" w:rsidRPr="0087061A" w:rsidRDefault="0087061A" w:rsidP="0087061A">
      <w:pPr>
        <w:ind w:left="851" w:firstLine="454"/>
      </w:pPr>
      <w:r w:rsidRPr="0087061A">
        <w:t>— mellem virksomheder, hvoraf mindst én er en lille eller mellemstor virksomhed, eller gennemføres i mindst to medlemsstater eller i en medlemsstat og i en kontraherende part til EØS-aftalen, og ingen virksomhed afholder mere end 70 % af de støtteberettigede omkostninger, eller</w:t>
      </w:r>
    </w:p>
    <w:p w14:paraId="4AF84D0D" w14:textId="77777777" w:rsidR="0087061A" w:rsidRPr="0087061A" w:rsidRDefault="0087061A" w:rsidP="0087061A">
      <w:pPr>
        <w:ind w:left="851" w:firstLine="454"/>
      </w:pPr>
      <w:r w:rsidRPr="0087061A">
        <w:t>— mellem en virksomhed og en eller flere forsknings- og vidensformidlende organisationer, hvor sidstnævnte afholder mindst 10 % af de støtteberettigede omkostninger og har ret til at offentliggøre egne forskningsresultater</w:t>
      </w:r>
    </w:p>
    <w:p w14:paraId="32B0C1AB" w14:textId="77777777" w:rsidR="0087061A" w:rsidRPr="0087061A" w:rsidRDefault="0087061A" w:rsidP="0087061A">
      <w:pPr>
        <w:contextualSpacing/>
      </w:pPr>
    </w:p>
    <w:p w14:paraId="42027DB6" w14:textId="77777777" w:rsidR="0087061A" w:rsidRPr="0087061A" w:rsidRDefault="0087061A" w:rsidP="0087061A">
      <w:pPr>
        <w:contextualSpacing/>
      </w:pPr>
      <w:r w:rsidRPr="0087061A">
        <w:t>I alle tilfælde forudsættes projektets resultater formidlet bredt gennem konferencer, publikationer, open access-samlinger, gratis software eller open source-software.</w:t>
      </w:r>
    </w:p>
    <w:p w14:paraId="749D789E" w14:textId="77777777" w:rsidR="0087061A" w:rsidRPr="0087061A" w:rsidRDefault="0087061A" w:rsidP="0087061A"/>
    <w:p w14:paraId="58294CDE" w14:textId="77777777" w:rsidR="0087061A" w:rsidRPr="0087061A" w:rsidRDefault="0087061A" w:rsidP="0087061A">
      <w:pPr>
        <w:contextualSpacing/>
      </w:pPr>
      <w:r w:rsidRPr="0087061A">
        <w:rPr>
          <w:b/>
        </w:rPr>
        <w:t>Gennemførlighedsundersøgelser</w:t>
      </w:r>
      <w:r w:rsidRPr="0087061A">
        <w:t>: Her kan forhøjes med 10 procentpoint for mellemstore virksomheder og med 20 procentpoints for små virksomheder</w:t>
      </w:r>
    </w:p>
    <w:p w14:paraId="4376CA13" w14:textId="77777777" w:rsidR="0087061A" w:rsidRPr="0087061A" w:rsidRDefault="0087061A" w:rsidP="0087061A">
      <w:pPr>
        <w:contextualSpacing/>
      </w:pPr>
    </w:p>
    <w:p w14:paraId="3DE4B9A8" w14:textId="138AD720" w:rsidR="00196E94" w:rsidRDefault="0087061A">
      <w:pPr>
        <w:contextualSpacing/>
      </w:pPr>
      <w:r w:rsidRPr="0087061A">
        <w:t>En mere udførlig beskrivelse af de relevante stats</w:t>
      </w:r>
      <w:bookmarkStart w:id="0" w:name="_GoBack"/>
      <w:bookmarkEnd w:id="0"/>
      <w:r w:rsidR="00691C3F">
        <w:t>s</w:t>
      </w:r>
      <w:r w:rsidRPr="0087061A">
        <w:t xml:space="preserve">tøtteregler kan findes </w:t>
      </w:r>
      <w:r w:rsidR="000E6273">
        <w:t xml:space="preserve">her: </w:t>
      </w:r>
      <w:hyperlink r:id="rId7" w:history="1">
        <w:r w:rsidR="000E6273" w:rsidRPr="008A52EF">
          <w:rPr>
            <w:rStyle w:val="Hyperlink"/>
          </w:rPr>
          <w:t>https://eur-lex.europa.eu/legal-content/DA/TXT/PDF/?uri=CELEX:02014R0651-20230701</w:t>
        </w:r>
      </w:hyperlink>
      <w:r w:rsidR="00322B04">
        <w:t>.</w:t>
      </w:r>
      <w:r w:rsidR="000E6273">
        <w:t xml:space="preserve"> </w:t>
      </w:r>
      <w:r w:rsidR="00322B04">
        <w:t>I</w:t>
      </w:r>
      <w:r w:rsidR="000E6273">
        <w:t xml:space="preserve"> denne sammenhæng </w:t>
      </w:r>
      <w:r w:rsidR="00322B04">
        <w:t xml:space="preserve">henvises </w:t>
      </w:r>
      <w:r w:rsidR="000E6273">
        <w:t xml:space="preserve">specielt </w:t>
      </w:r>
      <w:r w:rsidR="00322B04">
        <w:t xml:space="preserve">til </w:t>
      </w:r>
      <w:r w:rsidR="000E6273">
        <w:t>forordningens artikel 25</w:t>
      </w:r>
      <w:r w:rsidRPr="0087061A">
        <w:t>.</w:t>
      </w:r>
    </w:p>
    <w:sectPr w:rsidR="00196E94">
      <w:headerReference w:type="default" r:id="rId8"/>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4CCD4D" w14:textId="77777777" w:rsidR="00D47E1B" w:rsidRDefault="00D47E1B" w:rsidP="0087061A">
      <w:pPr>
        <w:spacing w:line="240" w:lineRule="auto"/>
      </w:pPr>
      <w:r>
        <w:separator/>
      </w:r>
    </w:p>
  </w:endnote>
  <w:endnote w:type="continuationSeparator" w:id="0">
    <w:p w14:paraId="6E5CDDDA" w14:textId="77777777" w:rsidR="00D47E1B" w:rsidRDefault="00D47E1B" w:rsidP="008706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EUAlbertina-BoldItal">
    <w:panose1 w:val="00000000000000000000"/>
    <w:charset w:val="00"/>
    <w:family w:val="swiss"/>
    <w:notTrueType/>
    <w:pitch w:val="default"/>
    <w:sig w:usb0="00000003" w:usb1="00000000" w:usb2="00000000" w:usb3="00000000" w:csb0="00000001" w:csb1="00000000"/>
  </w:font>
  <w:font w:name="EUAlbertina-Regu">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773A45" w14:textId="77777777" w:rsidR="00D47E1B" w:rsidRDefault="00D47E1B" w:rsidP="0087061A">
      <w:pPr>
        <w:spacing w:line="240" w:lineRule="auto"/>
      </w:pPr>
      <w:r>
        <w:separator/>
      </w:r>
    </w:p>
  </w:footnote>
  <w:footnote w:type="continuationSeparator" w:id="0">
    <w:p w14:paraId="03CC36C1" w14:textId="77777777" w:rsidR="00D47E1B" w:rsidRDefault="00D47E1B" w:rsidP="0087061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E2EB0F" w14:textId="46DD0F02" w:rsidR="0087061A" w:rsidRPr="000A2377" w:rsidRDefault="0087061A">
    <w:pPr>
      <w:pStyle w:val="Sidehoved"/>
      <w:rPr>
        <w:b/>
      </w:rPr>
    </w:pPr>
    <w:r w:rsidRPr="000A2377">
      <w:rPr>
        <w:b/>
        <w:noProof/>
      </w:rPr>
      <w:drawing>
        <wp:anchor distT="0" distB="0" distL="114300" distR="114300" simplePos="0" relativeHeight="251659264" behindDoc="0" locked="0" layoutInCell="1" allowOverlap="1" wp14:anchorId="5BEABB73" wp14:editId="176BA5E1">
          <wp:simplePos x="0" y="0"/>
          <wp:positionH relativeFrom="column">
            <wp:posOffset>4648200</wp:posOffset>
          </wp:positionH>
          <wp:positionV relativeFrom="paragraph">
            <wp:posOffset>75565</wp:posOffset>
          </wp:positionV>
          <wp:extent cx="1628881" cy="416967"/>
          <wp:effectExtent l="0" t="0" r="0" b="2540"/>
          <wp:wrapNone/>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8881" cy="416967"/>
                  </a:xfrm>
                  <a:prstGeom prst="rect">
                    <a:avLst/>
                  </a:prstGeom>
                </pic:spPr>
              </pic:pic>
            </a:graphicData>
          </a:graphic>
          <wp14:sizeRelH relativeFrom="margin">
            <wp14:pctWidth>0</wp14:pctWidth>
          </wp14:sizeRelH>
          <wp14:sizeRelV relativeFrom="margin">
            <wp14:pctHeight>0</wp14:pctHeight>
          </wp14:sizeRelV>
        </wp:anchor>
      </w:drawing>
    </w:r>
    <w:r w:rsidR="000A2377" w:rsidRPr="000A2377">
      <w:rPr>
        <w:b/>
      </w:rPr>
      <w:t>BILAG 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94E548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477BBA"/>
    <w:multiLevelType w:val="multilevel"/>
    <w:tmpl w:val="A3E2AB9A"/>
    <w:lvl w:ilvl="0">
      <w:start w:val="1"/>
      <w:numFmt w:val="bullet"/>
      <w:lvlText w:val=""/>
      <w:lvlJc w:val="left"/>
      <w:pPr>
        <w:ind w:left="454" w:hanging="454"/>
      </w:pPr>
      <w:rPr>
        <w:rFonts w:ascii="Symbol" w:hAnsi="Symbol" w:hint="default"/>
      </w:rPr>
    </w:lvl>
    <w:lvl w:ilvl="1">
      <w:start w:val="1"/>
      <w:numFmt w:val="bullet"/>
      <w:lvlText w:val=""/>
      <w:lvlJc w:val="left"/>
      <w:pPr>
        <w:ind w:left="908" w:hanging="454"/>
      </w:pPr>
      <w:rPr>
        <w:rFonts w:ascii="Symbol" w:hAnsi="Symbol" w:hint="default"/>
      </w:rPr>
    </w:lvl>
    <w:lvl w:ilvl="2">
      <w:start w:val="1"/>
      <w:numFmt w:val="bullet"/>
      <w:lvlText w:val=""/>
      <w:lvlJc w:val="left"/>
      <w:pPr>
        <w:ind w:left="1362" w:hanging="454"/>
      </w:pPr>
      <w:rPr>
        <w:rFonts w:ascii="Symbol" w:hAnsi="Symbol" w:hint="default"/>
      </w:rPr>
    </w:lvl>
    <w:lvl w:ilvl="3">
      <w:start w:val="1"/>
      <w:numFmt w:val="bullet"/>
      <w:lvlText w:val=""/>
      <w:lvlJc w:val="left"/>
      <w:pPr>
        <w:ind w:left="1816" w:hanging="454"/>
      </w:pPr>
      <w:rPr>
        <w:rFonts w:ascii="Symbol" w:hAnsi="Symbol" w:hint="default"/>
      </w:rPr>
    </w:lvl>
    <w:lvl w:ilvl="4">
      <w:start w:val="1"/>
      <w:numFmt w:val="bullet"/>
      <w:lvlText w:val=""/>
      <w:lvlJc w:val="left"/>
      <w:pPr>
        <w:ind w:left="2270" w:hanging="454"/>
      </w:pPr>
      <w:rPr>
        <w:rFonts w:ascii="Symbol" w:hAnsi="Symbol" w:hint="default"/>
      </w:rPr>
    </w:lvl>
    <w:lvl w:ilvl="5">
      <w:start w:val="1"/>
      <w:numFmt w:val="bullet"/>
      <w:lvlText w:val=""/>
      <w:lvlJc w:val="left"/>
      <w:pPr>
        <w:ind w:left="2724" w:hanging="454"/>
      </w:pPr>
      <w:rPr>
        <w:rFonts w:ascii="Symbol" w:hAnsi="Symbol" w:hint="default"/>
      </w:rPr>
    </w:lvl>
    <w:lvl w:ilvl="6">
      <w:start w:val="1"/>
      <w:numFmt w:val="bullet"/>
      <w:lvlText w:val=""/>
      <w:lvlJc w:val="left"/>
      <w:pPr>
        <w:ind w:left="3178" w:hanging="454"/>
      </w:pPr>
      <w:rPr>
        <w:rFonts w:ascii="Symbol" w:hAnsi="Symbol" w:hint="default"/>
      </w:rPr>
    </w:lvl>
    <w:lvl w:ilvl="7">
      <w:start w:val="1"/>
      <w:numFmt w:val="bullet"/>
      <w:lvlText w:val=""/>
      <w:lvlJc w:val="left"/>
      <w:pPr>
        <w:ind w:left="3632" w:hanging="454"/>
      </w:pPr>
      <w:rPr>
        <w:rFonts w:ascii="Symbol" w:hAnsi="Symbol" w:hint="default"/>
      </w:rPr>
    </w:lvl>
    <w:lvl w:ilvl="8">
      <w:start w:val="1"/>
      <w:numFmt w:val="bullet"/>
      <w:lvlText w:val=""/>
      <w:lvlJc w:val="left"/>
      <w:pPr>
        <w:ind w:left="4086" w:hanging="454"/>
      </w:pPr>
      <w:rPr>
        <w:rFonts w:ascii="Symbol" w:hAnsi="Symbol" w:hint="default"/>
      </w:rPr>
    </w:lvl>
  </w:abstractNum>
  <w:abstractNum w:abstractNumId="2" w15:restartNumberingAfterBreak="0">
    <w:nsid w:val="09912203"/>
    <w:multiLevelType w:val="hybridMultilevel"/>
    <w:tmpl w:val="3F0619A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172C2BB7"/>
    <w:multiLevelType w:val="multilevel"/>
    <w:tmpl w:val="45842EE4"/>
    <w:lvl w:ilvl="0">
      <w:start w:val="1"/>
      <w:numFmt w:val="bullet"/>
      <w:pStyle w:val="Opstilling-punkttegn"/>
      <w:lvlText w:val=""/>
      <w:lvlJc w:val="left"/>
      <w:pPr>
        <w:ind w:left="454" w:hanging="454"/>
      </w:pPr>
      <w:rPr>
        <w:rFonts w:ascii="Symbol" w:hAnsi="Symbol" w:hint="default"/>
      </w:rPr>
    </w:lvl>
    <w:lvl w:ilvl="1">
      <w:start w:val="1"/>
      <w:numFmt w:val="bullet"/>
      <w:lvlText w:val=""/>
      <w:lvlJc w:val="left"/>
      <w:pPr>
        <w:ind w:left="908" w:hanging="454"/>
      </w:pPr>
      <w:rPr>
        <w:rFonts w:ascii="Symbol" w:hAnsi="Symbol" w:hint="default"/>
      </w:rPr>
    </w:lvl>
    <w:lvl w:ilvl="2">
      <w:start w:val="1"/>
      <w:numFmt w:val="bullet"/>
      <w:lvlText w:val=""/>
      <w:lvlJc w:val="left"/>
      <w:pPr>
        <w:ind w:left="1362" w:hanging="454"/>
      </w:pPr>
      <w:rPr>
        <w:rFonts w:ascii="Symbol" w:hAnsi="Symbol" w:hint="default"/>
      </w:rPr>
    </w:lvl>
    <w:lvl w:ilvl="3">
      <w:start w:val="1"/>
      <w:numFmt w:val="bullet"/>
      <w:lvlText w:val=""/>
      <w:lvlJc w:val="left"/>
      <w:pPr>
        <w:ind w:left="1816" w:hanging="454"/>
      </w:pPr>
      <w:rPr>
        <w:rFonts w:ascii="Symbol" w:hAnsi="Symbol" w:hint="default"/>
      </w:rPr>
    </w:lvl>
    <w:lvl w:ilvl="4">
      <w:start w:val="1"/>
      <w:numFmt w:val="bullet"/>
      <w:lvlText w:val=""/>
      <w:lvlJc w:val="left"/>
      <w:pPr>
        <w:ind w:left="2270" w:hanging="454"/>
      </w:pPr>
      <w:rPr>
        <w:rFonts w:ascii="Symbol" w:hAnsi="Symbol" w:hint="default"/>
      </w:rPr>
    </w:lvl>
    <w:lvl w:ilvl="5">
      <w:start w:val="1"/>
      <w:numFmt w:val="bullet"/>
      <w:lvlText w:val=""/>
      <w:lvlJc w:val="left"/>
      <w:pPr>
        <w:ind w:left="2724" w:hanging="454"/>
      </w:pPr>
      <w:rPr>
        <w:rFonts w:ascii="Symbol" w:hAnsi="Symbol" w:hint="default"/>
      </w:rPr>
    </w:lvl>
    <w:lvl w:ilvl="6">
      <w:start w:val="1"/>
      <w:numFmt w:val="bullet"/>
      <w:lvlText w:val=""/>
      <w:lvlJc w:val="left"/>
      <w:pPr>
        <w:ind w:left="3178" w:hanging="454"/>
      </w:pPr>
      <w:rPr>
        <w:rFonts w:ascii="Symbol" w:hAnsi="Symbol" w:hint="default"/>
      </w:rPr>
    </w:lvl>
    <w:lvl w:ilvl="7">
      <w:start w:val="1"/>
      <w:numFmt w:val="bullet"/>
      <w:lvlText w:val=""/>
      <w:lvlJc w:val="left"/>
      <w:pPr>
        <w:ind w:left="3632" w:hanging="454"/>
      </w:pPr>
      <w:rPr>
        <w:rFonts w:ascii="Symbol" w:hAnsi="Symbol" w:hint="default"/>
      </w:rPr>
    </w:lvl>
    <w:lvl w:ilvl="8">
      <w:start w:val="1"/>
      <w:numFmt w:val="bullet"/>
      <w:lvlText w:val=""/>
      <w:lvlJc w:val="left"/>
      <w:pPr>
        <w:ind w:left="4086" w:hanging="454"/>
      </w:pPr>
      <w:rPr>
        <w:rFonts w:ascii="Symbol" w:hAnsi="Symbol" w:hint="default"/>
      </w:rPr>
    </w:lvl>
  </w:abstractNum>
  <w:abstractNum w:abstractNumId="4" w15:restartNumberingAfterBreak="0">
    <w:nsid w:val="1E683866"/>
    <w:multiLevelType w:val="hybridMultilevel"/>
    <w:tmpl w:val="5FCEECB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2B5E6A0D"/>
    <w:multiLevelType w:val="hybridMultilevel"/>
    <w:tmpl w:val="88A000B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5"/>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3F4"/>
    <w:rsid w:val="00003981"/>
    <w:rsid w:val="00003BD7"/>
    <w:rsid w:val="00004298"/>
    <w:rsid w:val="00004FFE"/>
    <w:rsid w:val="000065E9"/>
    <w:rsid w:val="00011E90"/>
    <w:rsid w:val="00012503"/>
    <w:rsid w:val="00015638"/>
    <w:rsid w:val="00017826"/>
    <w:rsid w:val="0002675B"/>
    <w:rsid w:val="00027CFE"/>
    <w:rsid w:val="00031236"/>
    <w:rsid w:val="00034BB4"/>
    <w:rsid w:val="00034DD3"/>
    <w:rsid w:val="00040083"/>
    <w:rsid w:val="0004319C"/>
    <w:rsid w:val="0004529C"/>
    <w:rsid w:val="00052531"/>
    <w:rsid w:val="000611E9"/>
    <w:rsid w:val="00061CD3"/>
    <w:rsid w:val="00062E8A"/>
    <w:rsid w:val="00066895"/>
    <w:rsid w:val="00066A50"/>
    <w:rsid w:val="000770AC"/>
    <w:rsid w:val="0007717D"/>
    <w:rsid w:val="00077AB6"/>
    <w:rsid w:val="000800E7"/>
    <w:rsid w:val="000803CC"/>
    <w:rsid w:val="0008308F"/>
    <w:rsid w:val="00084224"/>
    <w:rsid w:val="00092946"/>
    <w:rsid w:val="00097631"/>
    <w:rsid w:val="000A1E57"/>
    <w:rsid w:val="000A2377"/>
    <w:rsid w:val="000A5B45"/>
    <w:rsid w:val="000B31C7"/>
    <w:rsid w:val="000B55E3"/>
    <w:rsid w:val="000B5B6A"/>
    <w:rsid w:val="000B5E8C"/>
    <w:rsid w:val="000C118C"/>
    <w:rsid w:val="000C64D4"/>
    <w:rsid w:val="000D0C21"/>
    <w:rsid w:val="000D5E25"/>
    <w:rsid w:val="000D6C40"/>
    <w:rsid w:val="000E03C2"/>
    <w:rsid w:val="000E10B3"/>
    <w:rsid w:val="000E1703"/>
    <w:rsid w:val="000E6273"/>
    <w:rsid w:val="000E6906"/>
    <w:rsid w:val="000F13F3"/>
    <w:rsid w:val="000F183D"/>
    <w:rsid w:val="000F60D5"/>
    <w:rsid w:val="000F6DE6"/>
    <w:rsid w:val="000F7D11"/>
    <w:rsid w:val="00106AEC"/>
    <w:rsid w:val="00110A8F"/>
    <w:rsid w:val="00114424"/>
    <w:rsid w:val="00117449"/>
    <w:rsid w:val="00120D5B"/>
    <w:rsid w:val="001244FE"/>
    <w:rsid w:val="001248F4"/>
    <w:rsid w:val="00125B22"/>
    <w:rsid w:val="00126F4D"/>
    <w:rsid w:val="001359F1"/>
    <w:rsid w:val="001401CE"/>
    <w:rsid w:val="00142F5F"/>
    <w:rsid w:val="001515D9"/>
    <w:rsid w:val="00174BED"/>
    <w:rsid w:val="00175EFF"/>
    <w:rsid w:val="00181C76"/>
    <w:rsid w:val="00183BC2"/>
    <w:rsid w:val="00184266"/>
    <w:rsid w:val="0019022F"/>
    <w:rsid w:val="001946A9"/>
    <w:rsid w:val="00196E94"/>
    <w:rsid w:val="001B674B"/>
    <w:rsid w:val="001C226B"/>
    <w:rsid w:val="001C2876"/>
    <w:rsid w:val="001D614F"/>
    <w:rsid w:val="001D6D20"/>
    <w:rsid w:val="001E0F9B"/>
    <w:rsid w:val="001E0FBE"/>
    <w:rsid w:val="001E3FBA"/>
    <w:rsid w:val="001F451E"/>
    <w:rsid w:val="001F4EE9"/>
    <w:rsid w:val="001F5B2C"/>
    <w:rsid w:val="0020189C"/>
    <w:rsid w:val="00203DE2"/>
    <w:rsid w:val="00206CD4"/>
    <w:rsid w:val="002104D9"/>
    <w:rsid w:val="002165F6"/>
    <w:rsid w:val="002166C9"/>
    <w:rsid w:val="00222F86"/>
    <w:rsid w:val="00223527"/>
    <w:rsid w:val="00225158"/>
    <w:rsid w:val="0022529A"/>
    <w:rsid w:val="002315F9"/>
    <w:rsid w:val="00232A08"/>
    <w:rsid w:val="002349BB"/>
    <w:rsid w:val="00235222"/>
    <w:rsid w:val="00242433"/>
    <w:rsid w:val="00243673"/>
    <w:rsid w:val="0024388D"/>
    <w:rsid w:val="00254DB1"/>
    <w:rsid w:val="00257E0D"/>
    <w:rsid w:val="002621B8"/>
    <w:rsid w:val="00263010"/>
    <w:rsid w:val="00263975"/>
    <w:rsid w:val="0026438E"/>
    <w:rsid w:val="00273056"/>
    <w:rsid w:val="0027557B"/>
    <w:rsid w:val="00275CD5"/>
    <w:rsid w:val="002856A7"/>
    <w:rsid w:val="00292140"/>
    <w:rsid w:val="0029448C"/>
    <w:rsid w:val="002B0F12"/>
    <w:rsid w:val="002C1CA2"/>
    <w:rsid w:val="002C67D4"/>
    <w:rsid w:val="002C69EB"/>
    <w:rsid w:val="002C6A9B"/>
    <w:rsid w:val="002C72A8"/>
    <w:rsid w:val="002D1177"/>
    <w:rsid w:val="002D2304"/>
    <w:rsid w:val="002D48E9"/>
    <w:rsid w:val="002D6445"/>
    <w:rsid w:val="002E61A9"/>
    <w:rsid w:val="002E70D4"/>
    <w:rsid w:val="002F0E58"/>
    <w:rsid w:val="002F15CC"/>
    <w:rsid w:val="002F3E89"/>
    <w:rsid w:val="002F459E"/>
    <w:rsid w:val="002F70A2"/>
    <w:rsid w:val="00300518"/>
    <w:rsid w:val="00301AB2"/>
    <w:rsid w:val="0030330E"/>
    <w:rsid w:val="0030690A"/>
    <w:rsid w:val="00306B0B"/>
    <w:rsid w:val="00312A9F"/>
    <w:rsid w:val="0031379A"/>
    <w:rsid w:val="0031411F"/>
    <w:rsid w:val="00315A7F"/>
    <w:rsid w:val="00320723"/>
    <w:rsid w:val="00322B04"/>
    <w:rsid w:val="003261D9"/>
    <w:rsid w:val="003276FB"/>
    <w:rsid w:val="00331C97"/>
    <w:rsid w:val="0033630F"/>
    <w:rsid w:val="00340F30"/>
    <w:rsid w:val="00341C70"/>
    <w:rsid w:val="00350A58"/>
    <w:rsid w:val="00353238"/>
    <w:rsid w:val="00354E0C"/>
    <w:rsid w:val="00364FCD"/>
    <w:rsid w:val="0036619E"/>
    <w:rsid w:val="0037517E"/>
    <w:rsid w:val="00376D49"/>
    <w:rsid w:val="00380926"/>
    <w:rsid w:val="003875C9"/>
    <w:rsid w:val="00391020"/>
    <w:rsid w:val="003934A7"/>
    <w:rsid w:val="00393DA7"/>
    <w:rsid w:val="00394605"/>
    <w:rsid w:val="00397A94"/>
    <w:rsid w:val="003A5A09"/>
    <w:rsid w:val="003B5618"/>
    <w:rsid w:val="003C07F2"/>
    <w:rsid w:val="003C367B"/>
    <w:rsid w:val="003D2D63"/>
    <w:rsid w:val="003D4AEA"/>
    <w:rsid w:val="003D52A4"/>
    <w:rsid w:val="003D5A3E"/>
    <w:rsid w:val="003D7585"/>
    <w:rsid w:val="003D76CE"/>
    <w:rsid w:val="003E02E4"/>
    <w:rsid w:val="003E10D1"/>
    <w:rsid w:val="003F2982"/>
    <w:rsid w:val="003F4083"/>
    <w:rsid w:val="003F682B"/>
    <w:rsid w:val="00401DB0"/>
    <w:rsid w:val="00404398"/>
    <w:rsid w:val="0040555E"/>
    <w:rsid w:val="004063C7"/>
    <w:rsid w:val="00407EE3"/>
    <w:rsid w:val="00411711"/>
    <w:rsid w:val="00414490"/>
    <w:rsid w:val="00415457"/>
    <w:rsid w:val="00416730"/>
    <w:rsid w:val="0042063E"/>
    <w:rsid w:val="0042097C"/>
    <w:rsid w:val="004222A3"/>
    <w:rsid w:val="004247C6"/>
    <w:rsid w:val="00424E19"/>
    <w:rsid w:val="004304AE"/>
    <w:rsid w:val="00436A5D"/>
    <w:rsid w:val="004373ED"/>
    <w:rsid w:val="00441916"/>
    <w:rsid w:val="00441DD0"/>
    <w:rsid w:val="00443CA3"/>
    <w:rsid w:val="00443FF3"/>
    <w:rsid w:val="00446E63"/>
    <w:rsid w:val="00447813"/>
    <w:rsid w:val="00447F5B"/>
    <w:rsid w:val="00454C5E"/>
    <w:rsid w:val="00457755"/>
    <w:rsid w:val="0046102B"/>
    <w:rsid w:val="0046277E"/>
    <w:rsid w:val="0047139C"/>
    <w:rsid w:val="004716BF"/>
    <w:rsid w:val="0047279D"/>
    <w:rsid w:val="00473211"/>
    <w:rsid w:val="004757EB"/>
    <w:rsid w:val="00476B3B"/>
    <w:rsid w:val="004773F2"/>
    <w:rsid w:val="0048118D"/>
    <w:rsid w:val="00483108"/>
    <w:rsid w:val="00495BD1"/>
    <w:rsid w:val="00495E33"/>
    <w:rsid w:val="004A12C2"/>
    <w:rsid w:val="004A19D0"/>
    <w:rsid w:val="004B51B3"/>
    <w:rsid w:val="004B7BFA"/>
    <w:rsid w:val="004C1260"/>
    <w:rsid w:val="004C14C1"/>
    <w:rsid w:val="004D2D43"/>
    <w:rsid w:val="004D32CF"/>
    <w:rsid w:val="004D5340"/>
    <w:rsid w:val="004D5CCA"/>
    <w:rsid w:val="004D5D20"/>
    <w:rsid w:val="004D644B"/>
    <w:rsid w:val="004D671D"/>
    <w:rsid w:val="004E756E"/>
    <w:rsid w:val="004E7D83"/>
    <w:rsid w:val="004F17B3"/>
    <w:rsid w:val="004F6523"/>
    <w:rsid w:val="00504AC2"/>
    <w:rsid w:val="00511317"/>
    <w:rsid w:val="00511776"/>
    <w:rsid w:val="00511A2E"/>
    <w:rsid w:val="0051219F"/>
    <w:rsid w:val="00513D9E"/>
    <w:rsid w:val="00515312"/>
    <w:rsid w:val="00515DCA"/>
    <w:rsid w:val="00516B81"/>
    <w:rsid w:val="00522646"/>
    <w:rsid w:val="0052381D"/>
    <w:rsid w:val="00525894"/>
    <w:rsid w:val="005270C3"/>
    <w:rsid w:val="00531D33"/>
    <w:rsid w:val="00533489"/>
    <w:rsid w:val="00541D95"/>
    <w:rsid w:val="00543163"/>
    <w:rsid w:val="00543312"/>
    <w:rsid w:val="00543994"/>
    <w:rsid w:val="00544ECB"/>
    <w:rsid w:val="00550AB1"/>
    <w:rsid w:val="005538BE"/>
    <w:rsid w:val="00562184"/>
    <w:rsid w:val="00563069"/>
    <w:rsid w:val="0056341A"/>
    <w:rsid w:val="005666A0"/>
    <w:rsid w:val="00567A79"/>
    <w:rsid w:val="00570200"/>
    <w:rsid w:val="00571B6A"/>
    <w:rsid w:val="00572225"/>
    <w:rsid w:val="00572A7A"/>
    <w:rsid w:val="00576358"/>
    <w:rsid w:val="005824E3"/>
    <w:rsid w:val="00584A09"/>
    <w:rsid w:val="00585FB0"/>
    <w:rsid w:val="005902BF"/>
    <w:rsid w:val="005960D2"/>
    <w:rsid w:val="005A0890"/>
    <w:rsid w:val="005A22C4"/>
    <w:rsid w:val="005A57B9"/>
    <w:rsid w:val="005A624F"/>
    <w:rsid w:val="005A6F7F"/>
    <w:rsid w:val="005A7202"/>
    <w:rsid w:val="005A724F"/>
    <w:rsid w:val="005B05F9"/>
    <w:rsid w:val="005B6DA1"/>
    <w:rsid w:val="005B7F18"/>
    <w:rsid w:val="005C07CA"/>
    <w:rsid w:val="005C77E8"/>
    <w:rsid w:val="005D38C8"/>
    <w:rsid w:val="005D5904"/>
    <w:rsid w:val="005D676F"/>
    <w:rsid w:val="005E0872"/>
    <w:rsid w:val="005E1D5D"/>
    <w:rsid w:val="005E256F"/>
    <w:rsid w:val="005E461F"/>
    <w:rsid w:val="005E5493"/>
    <w:rsid w:val="005E5EC5"/>
    <w:rsid w:val="005F3211"/>
    <w:rsid w:val="00606B0F"/>
    <w:rsid w:val="00607E1F"/>
    <w:rsid w:val="0061661E"/>
    <w:rsid w:val="00617730"/>
    <w:rsid w:val="0062266F"/>
    <w:rsid w:val="00624378"/>
    <w:rsid w:val="0062548A"/>
    <w:rsid w:val="00626405"/>
    <w:rsid w:val="00634CE3"/>
    <w:rsid w:val="00635A7B"/>
    <w:rsid w:val="00642C3D"/>
    <w:rsid w:val="006459E0"/>
    <w:rsid w:val="006479EE"/>
    <w:rsid w:val="00651A43"/>
    <w:rsid w:val="0065469B"/>
    <w:rsid w:val="006606D2"/>
    <w:rsid w:val="00675114"/>
    <w:rsid w:val="006778E7"/>
    <w:rsid w:val="00680EAC"/>
    <w:rsid w:val="006815ED"/>
    <w:rsid w:val="00682FC4"/>
    <w:rsid w:val="00691C3F"/>
    <w:rsid w:val="00691ED5"/>
    <w:rsid w:val="00692DF8"/>
    <w:rsid w:val="00693343"/>
    <w:rsid w:val="00694800"/>
    <w:rsid w:val="00695324"/>
    <w:rsid w:val="006977AD"/>
    <w:rsid w:val="0069784A"/>
    <w:rsid w:val="006A4D93"/>
    <w:rsid w:val="006A6789"/>
    <w:rsid w:val="006A68DC"/>
    <w:rsid w:val="006B102D"/>
    <w:rsid w:val="006B2FF5"/>
    <w:rsid w:val="006B6877"/>
    <w:rsid w:val="006B7D8C"/>
    <w:rsid w:val="006C7D47"/>
    <w:rsid w:val="006D27D7"/>
    <w:rsid w:val="006D44D0"/>
    <w:rsid w:val="006D5D18"/>
    <w:rsid w:val="006D618B"/>
    <w:rsid w:val="006E5240"/>
    <w:rsid w:val="006E6D5D"/>
    <w:rsid w:val="006E7588"/>
    <w:rsid w:val="006F1C9C"/>
    <w:rsid w:val="006F24BC"/>
    <w:rsid w:val="006F24C0"/>
    <w:rsid w:val="006F5E80"/>
    <w:rsid w:val="007026BC"/>
    <w:rsid w:val="0071150C"/>
    <w:rsid w:val="00712A3E"/>
    <w:rsid w:val="00712FAE"/>
    <w:rsid w:val="007133F1"/>
    <w:rsid w:val="00714BC2"/>
    <w:rsid w:val="007160A4"/>
    <w:rsid w:val="007208FE"/>
    <w:rsid w:val="00727323"/>
    <w:rsid w:val="007279C0"/>
    <w:rsid w:val="00730AD3"/>
    <w:rsid w:val="00734804"/>
    <w:rsid w:val="007373C0"/>
    <w:rsid w:val="00740F5F"/>
    <w:rsid w:val="00747BB7"/>
    <w:rsid w:val="00755870"/>
    <w:rsid w:val="00761303"/>
    <w:rsid w:val="00763EE2"/>
    <w:rsid w:val="00765C05"/>
    <w:rsid w:val="00780500"/>
    <w:rsid w:val="00783DB7"/>
    <w:rsid w:val="00784A96"/>
    <w:rsid w:val="00794B6B"/>
    <w:rsid w:val="00797639"/>
    <w:rsid w:val="007A0EBD"/>
    <w:rsid w:val="007A1B67"/>
    <w:rsid w:val="007A1F76"/>
    <w:rsid w:val="007A3CCF"/>
    <w:rsid w:val="007A451E"/>
    <w:rsid w:val="007C7F19"/>
    <w:rsid w:val="007D2CEF"/>
    <w:rsid w:val="007D4B7F"/>
    <w:rsid w:val="007E25B7"/>
    <w:rsid w:val="007E5101"/>
    <w:rsid w:val="007E56FF"/>
    <w:rsid w:val="007E7591"/>
    <w:rsid w:val="007F1592"/>
    <w:rsid w:val="0080009F"/>
    <w:rsid w:val="00801D7F"/>
    <w:rsid w:val="008079B5"/>
    <w:rsid w:val="008145B5"/>
    <w:rsid w:val="00815918"/>
    <w:rsid w:val="00820CE3"/>
    <w:rsid w:val="00823635"/>
    <w:rsid w:val="008262F7"/>
    <w:rsid w:val="00827FB3"/>
    <w:rsid w:val="00832453"/>
    <w:rsid w:val="008337D5"/>
    <w:rsid w:val="00834004"/>
    <w:rsid w:val="008408DE"/>
    <w:rsid w:val="00842365"/>
    <w:rsid w:val="00845859"/>
    <w:rsid w:val="00852179"/>
    <w:rsid w:val="00854ED6"/>
    <w:rsid w:val="00860F48"/>
    <w:rsid w:val="00865317"/>
    <w:rsid w:val="00866202"/>
    <w:rsid w:val="00866B02"/>
    <w:rsid w:val="008704FF"/>
    <w:rsid w:val="0087061A"/>
    <w:rsid w:val="00871629"/>
    <w:rsid w:val="008720E1"/>
    <w:rsid w:val="00882F50"/>
    <w:rsid w:val="0088375B"/>
    <w:rsid w:val="00883A2E"/>
    <w:rsid w:val="008904F9"/>
    <w:rsid w:val="008911AB"/>
    <w:rsid w:val="00891783"/>
    <w:rsid w:val="00892192"/>
    <w:rsid w:val="0089219F"/>
    <w:rsid w:val="008924B4"/>
    <w:rsid w:val="008A0760"/>
    <w:rsid w:val="008A232E"/>
    <w:rsid w:val="008A496C"/>
    <w:rsid w:val="008B0619"/>
    <w:rsid w:val="008B262A"/>
    <w:rsid w:val="008B3A2D"/>
    <w:rsid w:val="008B78BE"/>
    <w:rsid w:val="008C1347"/>
    <w:rsid w:val="008C1C91"/>
    <w:rsid w:val="008C2DCA"/>
    <w:rsid w:val="008C79B2"/>
    <w:rsid w:val="008C7E2D"/>
    <w:rsid w:val="008D2151"/>
    <w:rsid w:val="008D5B68"/>
    <w:rsid w:val="008D6E1F"/>
    <w:rsid w:val="008D730C"/>
    <w:rsid w:val="008D7DD1"/>
    <w:rsid w:val="008E0FA0"/>
    <w:rsid w:val="008E503C"/>
    <w:rsid w:val="008E5E1A"/>
    <w:rsid w:val="008E676C"/>
    <w:rsid w:val="008E6934"/>
    <w:rsid w:val="008E7416"/>
    <w:rsid w:val="008F58EB"/>
    <w:rsid w:val="008F7CD1"/>
    <w:rsid w:val="00902A30"/>
    <w:rsid w:val="00902D4E"/>
    <w:rsid w:val="00903E98"/>
    <w:rsid w:val="00904EB4"/>
    <w:rsid w:val="0090649B"/>
    <w:rsid w:val="00906FE5"/>
    <w:rsid w:val="00911BBA"/>
    <w:rsid w:val="00921F3F"/>
    <w:rsid w:val="00922969"/>
    <w:rsid w:val="00924EFA"/>
    <w:rsid w:val="00925BB5"/>
    <w:rsid w:val="009365A6"/>
    <w:rsid w:val="00940076"/>
    <w:rsid w:val="009413BA"/>
    <w:rsid w:val="00956CD1"/>
    <w:rsid w:val="00960145"/>
    <w:rsid w:val="00966D06"/>
    <w:rsid w:val="009670BC"/>
    <w:rsid w:val="0096760E"/>
    <w:rsid w:val="0097143C"/>
    <w:rsid w:val="00972BC4"/>
    <w:rsid w:val="009746AE"/>
    <w:rsid w:val="00974ABC"/>
    <w:rsid w:val="00987113"/>
    <w:rsid w:val="009953E9"/>
    <w:rsid w:val="00997929"/>
    <w:rsid w:val="009A1D9C"/>
    <w:rsid w:val="009A3C11"/>
    <w:rsid w:val="009A4225"/>
    <w:rsid w:val="009A51B9"/>
    <w:rsid w:val="009A6593"/>
    <w:rsid w:val="009A6EB2"/>
    <w:rsid w:val="009A710C"/>
    <w:rsid w:val="009B0711"/>
    <w:rsid w:val="009B27E4"/>
    <w:rsid w:val="009B4DDA"/>
    <w:rsid w:val="009B6999"/>
    <w:rsid w:val="009B7AF2"/>
    <w:rsid w:val="009C1D10"/>
    <w:rsid w:val="009C7D22"/>
    <w:rsid w:val="009D27A0"/>
    <w:rsid w:val="009D46BB"/>
    <w:rsid w:val="009D4FD3"/>
    <w:rsid w:val="009D7D38"/>
    <w:rsid w:val="009E0F61"/>
    <w:rsid w:val="009E3AAA"/>
    <w:rsid w:val="009F6E28"/>
    <w:rsid w:val="00A1411E"/>
    <w:rsid w:val="00A15794"/>
    <w:rsid w:val="00A157F3"/>
    <w:rsid w:val="00A17332"/>
    <w:rsid w:val="00A20275"/>
    <w:rsid w:val="00A33429"/>
    <w:rsid w:val="00A34D36"/>
    <w:rsid w:val="00A37B22"/>
    <w:rsid w:val="00A401B8"/>
    <w:rsid w:val="00A41E0A"/>
    <w:rsid w:val="00A524F8"/>
    <w:rsid w:val="00A57D6D"/>
    <w:rsid w:val="00A71C06"/>
    <w:rsid w:val="00A74901"/>
    <w:rsid w:val="00A77A19"/>
    <w:rsid w:val="00A93F85"/>
    <w:rsid w:val="00A957B1"/>
    <w:rsid w:val="00A96DF5"/>
    <w:rsid w:val="00AB3D2D"/>
    <w:rsid w:val="00AB3E57"/>
    <w:rsid w:val="00AB525C"/>
    <w:rsid w:val="00AC4D36"/>
    <w:rsid w:val="00AC626D"/>
    <w:rsid w:val="00AC6BE9"/>
    <w:rsid w:val="00AC6DDE"/>
    <w:rsid w:val="00AC7DE5"/>
    <w:rsid w:val="00AD09CF"/>
    <w:rsid w:val="00AD310B"/>
    <w:rsid w:val="00AD37B8"/>
    <w:rsid w:val="00AE20BE"/>
    <w:rsid w:val="00AE3D83"/>
    <w:rsid w:val="00AE6F77"/>
    <w:rsid w:val="00AE7BA6"/>
    <w:rsid w:val="00AE7EFA"/>
    <w:rsid w:val="00AF0F8E"/>
    <w:rsid w:val="00AF1F1E"/>
    <w:rsid w:val="00AF33CA"/>
    <w:rsid w:val="00AF3803"/>
    <w:rsid w:val="00AF4B60"/>
    <w:rsid w:val="00B02EFB"/>
    <w:rsid w:val="00B04034"/>
    <w:rsid w:val="00B12D89"/>
    <w:rsid w:val="00B2015B"/>
    <w:rsid w:val="00B20448"/>
    <w:rsid w:val="00B215E8"/>
    <w:rsid w:val="00B21972"/>
    <w:rsid w:val="00B42724"/>
    <w:rsid w:val="00B45B7A"/>
    <w:rsid w:val="00B52747"/>
    <w:rsid w:val="00B53D52"/>
    <w:rsid w:val="00B6120A"/>
    <w:rsid w:val="00B67580"/>
    <w:rsid w:val="00B7533C"/>
    <w:rsid w:val="00B85425"/>
    <w:rsid w:val="00B87BD1"/>
    <w:rsid w:val="00B91526"/>
    <w:rsid w:val="00B92491"/>
    <w:rsid w:val="00B96BB5"/>
    <w:rsid w:val="00B9762A"/>
    <w:rsid w:val="00BA0192"/>
    <w:rsid w:val="00BA15B2"/>
    <w:rsid w:val="00BA3E86"/>
    <w:rsid w:val="00BA4981"/>
    <w:rsid w:val="00BB5D46"/>
    <w:rsid w:val="00BB7B8D"/>
    <w:rsid w:val="00BC2514"/>
    <w:rsid w:val="00BC5FB6"/>
    <w:rsid w:val="00BC7DED"/>
    <w:rsid w:val="00BD51A5"/>
    <w:rsid w:val="00BE50C9"/>
    <w:rsid w:val="00BF3F84"/>
    <w:rsid w:val="00BF458E"/>
    <w:rsid w:val="00BF4F2E"/>
    <w:rsid w:val="00C02624"/>
    <w:rsid w:val="00C105E7"/>
    <w:rsid w:val="00C1645D"/>
    <w:rsid w:val="00C16ADB"/>
    <w:rsid w:val="00C172C8"/>
    <w:rsid w:val="00C209AD"/>
    <w:rsid w:val="00C20FEE"/>
    <w:rsid w:val="00C20FF7"/>
    <w:rsid w:val="00C30A70"/>
    <w:rsid w:val="00C338A1"/>
    <w:rsid w:val="00C34D70"/>
    <w:rsid w:val="00C353EE"/>
    <w:rsid w:val="00C36086"/>
    <w:rsid w:val="00C372BD"/>
    <w:rsid w:val="00C37C1A"/>
    <w:rsid w:val="00C41617"/>
    <w:rsid w:val="00C46ECD"/>
    <w:rsid w:val="00C470C5"/>
    <w:rsid w:val="00C510BE"/>
    <w:rsid w:val="00C6483C"/>
    <w:rsid w:val="00C64E9E"/>
    <w:rsid w:val="00C67562"/>
    <w:rsid w:val="00C73896"/>
    <w:rsid w:val="00C80BD8"/>
    <w:rsid w:val="00C80EA1"/>
    <w:rsid w:val="00C818DA"/>
    <w:rsid w:val="00C823F4"/>
    <w:rsid w:val="00C905BE"/>
    <w:rsid w:val="00C95A0F"/>
    <w:rsid w:val="00CA14EC"/>
    <w:rsid w:val="00CA191A"/>
    <w:rsid w:val="00CB44DA"/>
    <w:rsid w:val="00CB597C"/>
    <w:rsid w:val="00CB6DF1"/>
    <w:rsid w:val="00CC270A"/>
    <w:rsid w:val="00CC4938"/>
    <w:rsid w:val="00CC4FEF"/>
    <w:rsid w:val="00CC60F0"/>
    <w:rsid w:val="00CD02A2"/>
    <w:rsid w:val="00CD3983"/>
    <w:rsid w:val="00CE2E9B"/>
    <w:rsid w:val="00CE520F"/>
    <w:rsid w:val="00CE6958"/>
    <w:rsid w:val="00CF140D"/>
    <w:rsid w:val="00CF281C"/>
    <w:rsid w:val="00CF34A0"/>
    <w:rsid w:val="00CF3FD9"/>
    <w:rsid w:val="00D00925"/>
    <w:rsid w:val="00D02037"/>
    <w:rsid w:val="00D025D9"/>
    <w:rsid w:val="00D027B6"/>
    <w:rsid w:val="00D04FB5"/>
    <w:rsid w:val="00D0715C"/>
    <w:rsid w:val="00D103E5"/>
    <w:rsid w:val="00D133E9"/>
    <w:rsid w:val="00D20C6A"/>
    <w:rsid w:val="00D26E7B"/>
    <w:rsid w:val="00D302DF"/>
    <w:rsid w:val="00D314F9"/>
    <w:rsid w:val="00D31B06"/>
    <w:rsid w:val="00D31C01"/>
    <w:rsid w:val="00D34753"/>
    <w:rsid w:val="00D35326"/>
    <w:rsid w:val="00D40E7B"/>
    <w:rsid w:val="00D47E1B"/>
    <w:rsid w:val="00D50F9D"/>
    <w:rsid w:val="00D545BE"/>
    <w:rsid w:val="00D567F6"/>
    <w:rsid w:val="00D613B9"/>
    <w:rsid w:val="00D62C64"/>
    <w:rsid w:val="00D62F7F"/>
    <w:rsid w:val="00D7138C"/>
    <w:rsid w:val="00D75D9C"/>
    <w:rsid w:val="00D75E41"/>
    <w:rsid w:val="00D76219"/>
    <w:rsid w:val="00D85E4B"/>
    <w:rsid w:val="00D87A87"/>
    <w:rsid w:val="00D92C49"/>
    <w:rsid w:val="00D93755"/>
    <w:rsid w:val="00D96DE9"/>
    <w:rsid w:val="00DA2C4F"/>
    <w:rsid w:val="00DA4630"/>
    <w:rsid w:val="00DB375F"/>
    <w:rsid w:val="00DB3DE4"/>
    <w:rsid w:val="00DB5779"/>
    <w:rsid w:val="00DC2D47"/>
    <w:rsid w:val="00DC3CCB"/>
    <w:rsid w:val="00DC41CD"/>
    <w:rsid w:val="00DC4B9E"/>
    <w:rsid w:val="00DC5B11"/>
    <w:rsid w:val="00DC71F5"/>
    <w:rsid w:val="00DD69BF"/>
    <w:rsid w:val="00DE0ED7"/>
    <w:rsid w:val="00DE19DF"/>
    <w:rsid w:val="00DE3B8F"/>
    <w:rsid w:val="00DF3168"/>
    <w:rsid w:val="00DF53CB"/>
    <w:rsid w:val="00E06D71"/>
    <w:rsid w:val="00E118CD"/>
    <w:rsid w:val="00E14D9E"/>
    <w:rsid w:val="00E17BC4"/>
    <w:rsid w:val="00E22200"/>
    <w:rsid w:val="00E30E79"/>
    <w:rsid w:val="00E32D20"/>
    <w:rsid w:val="00E35A68"/>
    <w:rsid w:val="00E363EF"/>
    <w:rsid w:val="00E41841"/>
    <w:rsid w:val="00E419F0"/>
    <w:rsid w:val="00E4353B"/>
    <w:rsid w:val="00E55232"/>
    <w:rsid w:val="00E56496"/>
    <w:rsid w:val="00E6484A"/>
    <w:rsid w:val="00E75D6B"/>
    <w:rsid w:val="00E764A6"/>
    <w:rsid w:val="00E81D47"/>
    <w:rsid w:val="00E81DB5"/>
    <w:rsid w:val="00E873F0"/>
    <w:rsid w:val="00E90035"/>
    <w:rsid w:val="00E902D2"/>
    <w:rsid w:val="00E94188"/>
    <w:rsid w:val="00E95B51"/>
    <w:rsid w:val="00E97632"/>
    <w:rsid w:val="00EA10AE"/>
    <w:rsid w:val="00EA177B"/>
    <w:rsid w:val="00EA4DF3"/>
    <w:rsid w:val="00EB04CE"/>
    <w:rsid w:val="00EB3FA0"/>
    <w:rsid w:val="00EC1043"/>
    <w:rsid w:val="00EC15BC"/>
    <w:rsid w:val="00EC284C"/>
    <w:rsid w:val="00EC2AB5"/>
    <w:rsid w:val="00EC5CA3"/>
    <w:rsid w:val="00ED2469"/>
    <w:rsid w:val="00ED2A12"/>
    <w:rsid w:val="00ED4E2C"/>
    <w:rsid w:val="00ED5104"/>
    <w:rsid w:val="00EE01DB"/>
    <w:rsid w:val="00EE2423"/>
    <w:rsid w:val="00EE45BB"/>
    <w:rsid w:val="00EE4866"/>
    <w:rsid w:val="00EE69C6"/>
    <w:rsid w:val="00EF1EAE"/>
    <w:rsid w:val="00EF5577"/>
    <w:rsid w:val="00F05B6E"/>
    <w:rsid w:val="00F070C3"/>
    <w:rsid w:val="00F07656"/>
    <w:rsid w:val="00F13DCF"/>
    <w:rsid w:val="00F1420E"/>
    <w:rsid w:val="00F22E4D"/>
    <w:rsid w:val="00F25E76"/>
    <w:rsid w:val="00F358F6"/>
    <w:rsid w:val="00F35D87"/>
    <w:rsid w:val="00F363F1"/>
    <w:rsid w:val="00F37D72"/>
    <w:rsid w:val="00F40C1C"/>
    <w:rsid w:val="00F40F6D"/>
    <w:rsid w:val="00F4367B"/>
    <w:rsid w:val="00F43A3A"/>
    <w:rsid w:val="00F45D7E"/>
    <w:rsid w:val="00F5348E"/>
    <w:rsid w:val="00F55396"/>
    <w:rsid w:val="00F57D09"/>
    <w:rsid w:val="00F61F85"/>
    <w:rsid w:val="00F62EBD"/>
    <w:rsid w:val="00F62F29"/>
    <w:rsid w:val="00F6402C"/>
    <w:rsid w:val="00F6428D"/>
    <w:rsid w:val="00F67ACE"/>
    <w:rsid w:val="00F71FF9"/>
    <w:rsid w:val="00F722AD"/>
    <w:rsid w:val="00F7390E"/>
    <w:rsid w:val="00F766D3"/>
    <w:rsid w:val="00F82AF0"/>
    <w:rsid w:val="00F853A7"/>
    <w:rsid w:val="00F86DA4"/>
    <w:rsid w:val="00F87FC8"/>
    <w:rsid w:val="00F92401"/>
    <w:rsid w:val="00F92B8A"/>
    <w:rsid w:val="00F93539"/>
    <w:rsid w:val="00F94775"/>
    <w:rsid w:val="00F94F21"/>
    <w:rsid w:val="00F95775"/>
    <w:rsid w:val="00F9636D"/>
    <w:rsid w:val="00F97266"/>
    <w:rsid w:val="00F97859"/>
    <w:rsid w:val="00FA2A3F"/>
    <w:rsid w:val="00FA3609"/>
    <w:rsid w:val="00FA3882"/>
    <w:rsid w:val="00FA4506"/>
    <w:rsid w:val="00FA6C8D"/>
    <w:rsid w:val="00FB0870"/>
    <w:rsid w:val="00FB0E06"/>
    <w:rsid w:val="00FB1A2E"/>
    <w:rsid w:val="00FB3CBB"/>
    <w:rsid w:val="00FC0466"/>
    <w:rsid w:val="00FC1CCA"/>
    <w:rsid w:val="00FC6C02"/>
    <w:rsid w:val="00FD1E14"/>
    <w:rsid w:val="00FD1FD8"/>
    <w:rsid w:val="00FD257B"/>
    <w:rsid w:val="00FD4125"/>
    <w:rsid w:val="00FD4AA0"/>
    <w:rsid w:val="00FD540D"/>
    <w:rsid w:val="00FD6F21"/>
    <w:rsid w:val="00FE0604"/>
    <w:rsid w:val="00FE2081"/>
    <w:rsid w:val="00FE5AEC"/>
    <w:rsid w:val="00FE6573"/>
    <w:rsid w:val="00FE6777"/>
    <w:rsid w:val="00FE79F5"/>
    <w:rsid w:val="00FF0449"/>
    <w:rsid w:val="00FF2143"/>
    <w:rsid w:val="00FF2533"/>
    <w:rsid w:val="00FF563D"/>
    <w:rsid w:val="00FF7192"/>
    <w:rsid w:val="00FF7B9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1AF85"/>
  <w15:chartTrackingRefBased/>
  <w15:docId w15:val="{6DB88CB2-F572-49B5-B6EB-D30A6B3F9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F4"/>
    <w:pPr>
      <w:spacing w:after="0" w:line="260" w:lineRule="atLeast"/>
    </w:pPr>
    <w:rPr>
      <w:rFonts w:ascii="Georgia" w:eastAsia="Times New Roman" w:hAnsi="Georgia" w:cs="Times New Roman"/>
      <w:sz w:val="20"/>
      <w:szCs w:val="20"/>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Opstilling-punkttegn">
    <w:name w:val="List Bullet"/>
    <w:basedOn w:val="Normal"/>
    <w:uiPriority w:val="2"/>
    <w:qFormat/>
    <w:rsid w:val="00C823F4"/>
    <w:pPr>
      <w:numPr>
        <w:numId w:val="1"/>
      </w:numPr>
      <w:contextualSpacing/>
    </w:pPr>
  </w:style>
  <w:style w:type="paragraph" w:styleId="Markeringsbobletekst">
    <w:name w:val="Balloon Text"/>
    <w:basedOn w:val="Normal"/>
    <w:link w:val="MarkeringsbobletekstTegn"/>
    <w:uiPriority w:val="99"/>
    <w:semiHidden/>
    <w:unhideWhenUsed/>
    <w:rsid w:val="003D52A4"/>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3D52A4"/>
    <w:rPr>
      <w:rFonts w:ascii="Segoe UI" w:eastAsia="Times New Roman" w:hAnsi="Segoe UI" w:cs="Segoe UI"/>
      <w:sz w:val="18"/>
      <w:szCs w:val="18"/>
      <w:lang w:eastAsia="da-DK"/>
    </w:rPr>
  </w:style>
  <w:style w:type="character" w:styleId="Kommentarhenvisning">
    <w:name w:val="annotation reference"/>
    <w:basedOn w:val="Standardskrifttypeiafsnit"/>
    <w:uiPriority w:val="99"/>
    <w:semiHidden/>
    <w:unhideWhenUsed/>
    <w:rsid w:val="007F1592"/>
    <w:rPr>
      <w:sz w:val="16"/>
      <w:szCs w:val="16"/>
    </w:rPr>
  </w:style>
  <w:style w:type="paragraph" w:styleId="Kommentartekst">
    <w:name w:val="annotation text"/>
    <w:basedOn w:val="Normal"/>
    <w:link w:val="KommentartekstTegn"/>
    <w:uiPriority w:val="99"/>
    <w:semiHidden/>
    <w:unhideWhenUsed/>
    <w:rsid w:val="007F1592"/>
    <w:pPr>
      <w:spacing w:line="240" w:lineRule="auto"/>
    </w:pPr>
  </w:style>
  <w:style w:type="character" w:customStyle="1" w:styleId="KommentartekstTegn">
    <w:name w:val="Kommentartekst Tegn"/>
    <w:basedOn w:val="Standardskrifttypeiafsnit"/>
    <w:link w:val="Kommentartekst"/>
    <w:uiPriority w:val="99"/>
    <w:semiHidden/>
    <w:rsid w:val="007F1592"/>
    <w:rPr>
      <w:rFonts w:ascii="Georgia" w:eastAsia="Times New Roman" w:hAnsi="Georgia" w:cs="Times New Roman"/>
      <w:sz w:val="20"/>
      <w:szCs w:val="20"/>
      <w:lang w:eastAsia="da-DK"/>
    </w:rPr>
  </w:style>
  <w:style w:type="paragraph" w:styleId="Kommentaremne">
    <w:name w:val="annotation subject"/>
    <w:basedOn w:val="Kommentartekst"/>
    <w:next w:val="Kommentartekst"/>
    <w:link w:val="KommentaremneTegn"/>
    <w:uiPriority w:val="99"/>
    <w:semiHidden/>
    <w:unhideWhenUsed/>
    <w:rsid w:val="007F1592"/>
    <w:rPr>
      <w:b/>
      <w:bCs/>
    </w:rPr>
  </w:style>
  <w:style w:type="character" w:customStyle="1" w:styleId="KommentaremneTegn">
    <w:name w:val="Kommentaremne Tegn"/>
    <w:basedOn w:val="KommentartekstTegn"/>
    <w:link w:val="Kommentaremne"/>
    <w:uiPriority w:val="99"/>
    <w:semiHidden/>
    <w:rsid w:val="007F1592"/>
    <w:rPr>
      <w:rFonts w:ascii="Georgia" w:eastAsia="Times New Roman" w:hAnsi="Georgia" w:cs="Times New Roman"/>
      <w:b/>
      <w:bCs/>
      <w:sz w:val="20"/>
      <w:szCs w:val="20"/>
      <w:lang w:eastAsia="da-DK"/>
    </w:rPr>
  </w:style>
  <w:style w:type="paragraph" w:styleId="Listeafsnit">
    <w:name w:val="List Paragraph"/>
    <w:basedOn w:val="Normal"/>
    <w:uiPriority w:val="34"/>
    <w:qFormat/>
    <w:rsid w:val="005270C3"/>
    <w:pPr>
      <w:ind w:left="720"/>
      <w:contextualSpacing/>
    </w:pPr>
  </w:style>
  <w:style w:type="paragraph" w:styleId="Sidehoved">
    <w:name w:val="header"/>
    <w:basedOn w:val="Normal"/>
    <w:link w:val="SidehovedTegn"/>
    <w:uiPriority w:val="99"/>
    <w:unhideWhenUsed/>
    <w:rsid w:val="0087061A"/>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87061A"/>
    <w:rPr>
      <w:rFonts w:ascii="Georgia" w:eastAsia="Times New Roman" w:hAnsi="Georgia" w:cs="Times New Roman"/>
      <w:sz w:val="20"/>
      <w:szCs w:val="20"/>
      <w:lang w:eastAsia="da-DK"/>
    </w:rPr>
  </w:style>
  <w:style w:type="paragraph" w:styleId="Sidefod">
    <w:name w:val="footer"/>
    <w:basedOn w:val="Normal"/>
    <w:link w:val="SidefodTegn"/>
    <w:uiPriority w:val="99"/>
    <w:unhideWhenUsed/>
    <w:rsid w:val="0087061A"/>
    <w:pPr>
      <w:tabs>
        <w:tab w:val="center" w:pos="4819"/>
        <w:tab w:val="right" w:pos="9638"/>
      </w:tabs>
      <w:spacing w:line="240" w:lineRule="auto"/>
    </w:pPr>
  </w:style>
  <w:style w:type="character" w:customStyle="1" w:styleId="SidefodTegn">
    <w:name w:val="Sidefod Tegn"/>
    <w:basedOn w:val="Standardskrifttypeiafsnit"/>
    <w:link w:val="Sidefod"/>
    <w:uiPriority w:val="99"/>
    <w:rsid w:val="0087061A"/>
    <w:rPr>
      <w:rFonts w:ascii="Georgia" w:eastAsia="Times New Roman" w:hAnsi="Georgia" w:cs="Times New Roman"/>
      <w:sz w:val="20"/>
      <w:szCs w:val="20"/>
      <w:lang w:eastAsia="da-DK"/>
    </w:rPr>
  </w:style>
  <w:style w:type="character" w:styleId="Hyperlink">
    <w:name w:val="Hyperlink"/>
    <w:basedOn w:val="Standardskrifttypeiafsnit"/>
    <w:uiPriority w:val="99"/>
    <w:unhideWhenUsed/>
    <w:rsid w:val="00D314F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ur-lex.europa.eu/legal-content/DA/TXT/PDF/?uri=CELEX:02014R0651-202307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3</Pages>
  <Words>1211</Words>
  <Characters>7393</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Statens It</Company>
  <LinksUpToDate>false</LinksUpToDate>
  <CharactersWithSpaces>8587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 Bech Pedersen</dc:creator>
  <cp:keywords/>
  <dc:description/>
  <cp:lastModifiedBy>Anders Larsen</cp:lastModifiedBy>
  <cp:revision>5</cp:revision>
  <dcterms:created xsi:type="dcterms:W3CDTF">2023-10-19T06:42:00Z</dcterms:created>
  <dcterms:modified xsi:type="dcterms:W3CDTF">2023-10-19T07:26:00Z</dcterms:modified>
</cp:coreProperties>
</file>